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임시칸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6315"/>
        <w:tblGridChange w:id="0">
          <w:tblGrid>
            <w:gridCol w:w="2685"/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임시 보관소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아이템이 배치되면서 기존의 아이템이 밀려났을 경우,</w:t>
              <w:br w:type="textWrapping"/>
              <w:t xml:space="preserve">밀려난 아이템은 임시칸으로 이동된다.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판매 공간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임시칸에 배치된 아이템은 리롤을 눌렀을때 자동으로 판매됨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획득 장소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몬스터나 엘리트 몬스터?에게서 반지나 특수무기를 획득했을때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임시칸에 배치됨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