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pPr>
      <w:r>
        <w:rPr>
          <w:rFonts w:ascii="Arial" w:cs="Arial" w:eastAsia="Arial" w:hAnsi="Arial"/>
          <w:b/>
          <w:bCs/>
          <w:color w:val="1A1A2E"/>
          <w:sz w:val="44"/>
          <w:szCs w:val="44"/>
        </w:rPr>
        <w:t xml:space="preserve">CROWDTRAIN</w:t>
      </w:r>
    </w:p>
    <w:p>
      <w:pPr>
        <w:pBdr>
          <w:bottom w:val="single" w:color="2E75B6" w:sz="6" w:space="8"/>
        </w:pBdr>
        <w:spacing w:after="80"/>
      </w:pPr>
      <w:r>
        <w:rPr>
          <w:rFonts w:ascii="Arial" w:cs="Arial" w:eastAsia="Arial" w:hAnsi="Arial"/>
          <w:i/>
          <w:iCs/>
          <w:color w:val="666666"/>
          <w:sz w:val="24"/>
          <w:szCs w:val="24"/>
        </w:rPr>
        <w:t xml:space="preserve">The DePIN network that manufactures robotics expertise at scale. Train operators in simulation, deploy them on real robot hardware across a decentralized facility network, compound every hour into a proprietary manipulation dataset.</w:t>
      </w:r>
    </w:p>
    <w:p>
      <w:pPr>
        <w:spacing w:after="320"/>
      </w:pPr>
      <w:r>
        <w:rPr>
          <w:rFonts w:ascii="Arial" w:cs="Arial" w:eastAsia="Arial" w:hAnsi="Arial"/>
          <w:color w:val="666666"/>
          <w:sz w:val="18"/>
          <w:szCs w:val="18"/>
        </w:rPr>
        <w:t xml:space="preserve">Pre-Seed  |  Solana-Native  |  Tbilisi, Georgia</w:t>
      </w:r>
    </w:p>
    <w:p>
      <w:pPr>
        <w:pStyle w:val="Heading1"/>
        <w:spacing w:after="200" w:before="360"/>
      </w:pPr>
      <w:r>
        <w:rPr>
          <w:rFonts w:ascii="Arial" w:cs="Arial" w:eastAsia="Arial" w:hAnsi="Arial"/>
          <w:b/>
          <w:bCs/>
          <w:color w:val="1A1A2E"/>
          <w:sz w:val="28"/>
          <w:szCs w:val="28"/>
        </w:rPr>
        <w:t xml:space="preserve">Team</w:t>
      </w:r>
    </w:p>
    <w:p>
      <w:pPr>
        <w:spacing w:after="160" w:line="276"/>
      </w:pPr>
      <w:r>
        <w:rPr>
          <w:rFonts w:ascii="Arial" w:cs="Arial" w:eastAsia="Arial" w:hAnsi="Arial"/>
          <w:b/>
          <w:bCs/>
          <w:color w:val="1A1A2E"/>
          <w:sz w:val="21"/>
          <w:szCs w:val="21"/>
        </w:rPr>
        <w:t xml:space="preserve">Nika Oniani, CEO &amp; Co-Founder. </w:t>
      </w:r>
      <w:r>
        <w:rPr>
          <w:rFonts w:ascii="Arial" w:cs="Arial" w:eastAsia="Arial" w:hAnsi="Arial"/>
          <w:color w:val="1A1A2E"/>
          <w:sz w:val="21"/>
          <w:szCs w:val="21"/>
        </w:rPr>
        <w:t xml:space="preserve">Founded DeFi Land, the first gamified DeFi platform on Solana—scaled to 100,000 monthly active users and a community that remains active five years later, with a peak valuation of $4 billion. It’s a proof of concept for exactly what CrowdTrain needs: token-incentivized systems that drive real human behavior at scale, contributor networks that don’t collapse when emissions slow, and shipping fast in competitive markets. Before DeFi Land, built and exited a computer vision company (smart cameras, smart glasses)—direct exposure to the ML/vision layer underpinning robotics. Led gamification and analytics at TBC Bank, Georgia’s largest public company (London Stock Exchange). Has spent years building with physical robot arms and the LeRobot framework.</w:t>
      </w:r>
    </w:p>
    <w:p>
      <w:pPr>
        <w:spacing w:after="160" w:line="276"/>
      </w:pPr>
      <w:r>
        <w:rPr>
          <w:rFonts w:ascii="Arial" w:cs="Arial" w:eastAsia="Arial" w:hAnsi="Arial"/>
          <w:b/>
          <w:bCs/>
          <w:color w:val="1A1A2E"/>
          <w:sz w:val="21"/>
          <w:szCs w:val="21"/>
        </w:rPr>
        <w:t xml:space="preserve">Archil Basadzishvili, CTO &amp; Co-Founder. </w:t>
      </w:r>
      <w:r>
        <w:rPr>
          <w:rFonts w:ascii="Arial" w:cs="Arial" w:eastAsia="Arial" w:hAnsi="Arial"/>
          <w:color w:val="1A1A2E"/>
          <w:sz w:val="21"/>
          <w:szCs w:val="21"/>
        </w:rPr>
        <w:t xml:space="preserve">Silver Medalist at the International Olympiad in Informatics (IOI)—top fraction of a percent of programmers globally. 8× hackathon winner. Architect of the first index protocol on Solana and early contributor to MetaDAO. Shipped full-stack Solana products end-to-end: smart contracts, backend infrastructure, blockchain integrations. Building personal robotics projects with LeRobot and physical arms—direct experience with the ROS2 middleware, kinematics, and control interfaces CrowdTrain must integrate.</w:t>
      </w:r>
    </w:p>
    <w:p>
      <w:pPr>
        <w:spacing w:after="160" w:line="276"/>
      </w:pPr>
      <w:r>
        <w:rPr>
          <w:rFonts w:ascii="Arial" w:cs="Arial" w:eastAsia="Arial" w:hAnsi="Arial"/>
          <w:color w:val="1A1A2E"/>
          <w:sz w:val="21"/>
          <w:szCs w:val="21"/>
        </w:rPr>
        <w:t xml:space="preserve">The team is five people—two co-founders and three engineers—actively building. The founding team’s core superpower: DeFi Land proved they can make complex, repetitive tasks genuinely engaging at scale. That same design philosophy applied to robotics operator training is CrowdTrain’s retention moat—and the difference between a DePIN network that retains and one that churns.</w:t>
      </w:r>
    </w:p>
    <w:p>
      <w:pPr>
        <w:pStyle w:val="Heading1"/>
        <w:spacing w:after="200" w:before="360"/>
      </w:pPr>
      <w:r>
        <w:rPr>
          <w:rFonts w:ascii="Arial" w:cs="Arial" w:eastAsia="Arial" w:hAnsi="Arial"/>
          <w:b/>
          <w:bCs/>
          <w:color w:val="1A1A2E"/>
          <w:sz w:val="28"/>
          <w:szCs w:val="28"/>
        </w:rPr>
        <w:t xml:space="preserve">Problem &amp; Market</w:t>
      </w:r>
    </w:p>
    <w:p>
      <w:pPr>
        <w:spacing w:after="160" w:line="276"/>
      </w:pPr>
      <w:r>
        <w:rPr>
          <w:rFonts w:ascii="Arial" w:cs="Arial" w:eastAsia="Arial" w:hAnsi="Arial"/>
          <w:color w:val="1A1A2E"/>
          <w:sz w:val="21"/>
          <w:szCs w:val="21"/>
        </w:rPr>
        <w:t xml:space="preserve">Robotics is entering its deployment decade. Companies raised $13.8 billion in 2024 alone. Figure, 1X, Apptronik, and Tesla are all scaling simultaneously. What isn’t arriving is the human infrastructure to serve them.</w:t>
      </w:r>
    </w:p>
    <w:p>
      <w:pPr>
        <w:spacing w:after="160" w:line="276"/>
      </w:pPr>
      <w:r>
        <w:rPr>
          <w:rFonts w:ascii="Arial" w:cs="Arial" w:eastAsia="Arial" w:hAnsi="Arial"/>
          <w:color w:val="1A1A2E"/>
          <w:sz w:val="21"/>
          <w:szCs w:val="21"/>
        </w:rPr>
        <w:t xml:space="preserve">The bottleneck isn’t algorithms, hardware, or compute—it’s the absence of a qualified human workforce to generate, label, and verify the manipulation data robot AI requires. Tesla pays $48/hour for co-located teleoperators. Robotics companies employ 5–20 in-house data collectors in sterile labs. NVIDIA’s kitchen dataset alone required 600 hours and 55,000 demonstrations. Every new robot embodiment and environment requires fresh data at scale. This doesn’t scale.</w:t>
      </w:r>
    </w:p>
    <w:p>
      <w:pPr>
        <w:spacing w:after="160" w:line="276"/>
      </w:pPr>
      <w:r>
        <w:rPr>
          <w:rFonts w:ascii="Arial" w:cs="Arial" w:eastAsia="Arial" w:hAnsi="Arial"/>
          <w:color w:val="1A1A2E"/>
          <w:sz w:val="21"/>
          <w:szCs w:val="21"/>
        </w:rPr>
        <w:t xml:space="preserve">The market is already pricing this in. In March 2026, NEURA Robotics and the Technical University of Munich announced TUM RoboGym—a 2,300-square-meter physical AI training center at Munich Airport, backed by €17 million ($18.5M) in joint investment. NEURA’s CEO stated publicly that “the biggest challenge today is no longer the hardware, but access to high-quality, realistic training data.” Their solution is a single centralized facility producing data for their own robots and feeding it into a proprietary ecosystem. That is $18.5M in capex for one location, one company’s embodiments, one data silo. CrowdTrain’s model inverts this entirely: decentralized nodes, hardware-agnostic operators, token-incentivized infrastructure that scales across geographies and robot platforms at a fraction of the cost per facility.</w:t>
      </w:r>
    </w:p>
    <w:p>
      <w:pPr>
        <w:spacing w:after="160" w:line="276"/>
      </w:pPr>
      <w:r>
        <w:rPr>
          <w:rFonts w:ascii="Arial" w:cs="Arial" w:eastAsia="Arial" w:hAnsi="Arial"/>
          <w:color w:val="1A1A2E"/>
          <w:sz w:val="21"/>
          <w:szCs w:val="21"/>
        </w:rPr>
        <w:t xml:space="preserve">AI is accelerating this problem. Modern tooling lets a single founder or a five-person team ship what used to require a full engineering organization. But these lean teams still need human judgment, human verification, and human presence at the physical edge—they need people to generate demonstrations, supervise autonomous behavior, diagnose failures, and operate hardware in the real world. As core teams shrink, the perimeter of on-demand human contributors they depend on expands. The constraint is no longer “how many people can we hire?” but “how quickly can we source, verify, and pay qualified contributors at the margins?”</w:t>
      </w:r>
    </w:p>
    <w:p>
      <w:pPr>
        <w:spacing w:after="160" w:line="276"/>
      </w:pPr>
      <w:r>
        <w:rPr>
          <w:rFonts w:ascii="Arial" w:cs="Arial" w:eastAsia="Arial" w:hAnsi="Arial"/>
          <w:b/>
          <w:bCs/>
          <w:color w:val="1A1A2E"/>
          <w:sz w:val="21"/>
          <w:szCs w:val="21"/>
        </w:rPr>
        <w:t xml:space="preserve">Demand spans five categories growing in parallel: </w:t>
      </w:r>
      <w:r>
        <w:rPr>
          <w:rFonts w:ascii="Arial" w:cs="Arial" w:eastAsia="Arial" w:hAnsi="Arial"/>
          <w:color w:val="1A1A2E"/>
          <w:sz w:val="21"/>
          <w:szCs w:val="21"/>
        </w:rPr>
        <w:t xml:space="preserve">raw demonstration data for foundation models, domain-expert labeling and failure annotation ($13.8B market by 2030, 23% CAGR), teleoperation for imitation learning, real-time remote operation of deployed robots, and edge-case failure recovery—the highest-value data type in robotics.</w:t>
      </w:r>
    </w:p>
    <w:p>
      <w:pPr>
        <w:spacing w:after="160" w:line="276"/>
      </w:pPr>
      <w:r>
        <w:rPr>
          <w:rFonts w:ascii="Arial" w:cs="Arial" w:eastAsia="Arial" w:hAnsi="Arial"/>
          <w:color w:val="1A1A2E"/>
          <w:sz w:val="21"/>
          <w:szCs w:val="21"/>
        </w:rPr>
        <w:t xml:space="preserve">No existing platform serves all five. More importantly, no platform manufactures the qualified operators needed to serve them. The industry treats this as a data pipeline problem. CrowdTrain’s thesis: if the workforce doesn’t exist, you build the system that creates it.</w:t>
      </w:r>
    </w:p>
    <w:p>
      <w:pPr>
        <w:spacing w:after="160" w:line="276"/>
      </w:pPr>
      <w:r>
        <w:rPr>
          <w:rFonts w:ascii="Arial" w:cs="Arial" w:eastAsia="Arial" w:hAnsi="Arial"/>
          <w:b/>
          <w:bCs/>
          <w:color w:val="1A1A2E"/>
          <w:sz w:val="21"/>
          <w:szCs w:val="21"/>
        </w:rPr>
        <w:t xml:space="preserve">This is also a permanent market. </w:t>
      </w:r>
      <w:r>
        <w:rPr>
          <w:rFonts w:ascii="Arial" w:cs="Arial" w:eastAsia="Arial" w:hAnsi="Arial"/>
          <w:color w:val="1A1A2E"/>
          <w:sz w:val="21"/>
          <w:szCs w:val="21"/>
        </w:rPr>
        <w:t xml:space="preserve">Waymo has spent 15+ years and billions of dollars on the best autonomous driving system on earth. They still employ remote teleoperators. As robots scale from thousands to millions, even a 1:50 supervision ratio implies hundreds of thousands of operators globally. The human-in-the-loop isn’t a bridge—it’s an architectural layer that grows with every robot deployed.</w:t>
      </w:r>
    </w:p>
    <w:p>
      <w:pPr>
        <w:pStyle w:val="Heading1"/>
        <w:spacing w:after="200" w:before="360"/>
      </w:pPr>
      <w:r>
        <w:rPr>
          <w:rFonts w:ascii="Arial" w:cs="Arial" w:eastAsia="Arial" w:hAnsi="Arial"/>
          <w:b/>
          <w:bCs/>
          <w:color w:val="1A1A2E"/>
          <w:sz w:val="28"/>
          <w:szCs w:val="28"/>
        </w:rPr>
        <w:t xml:space="preserve">Product: The Seven-Tier Operator Pipeline</w:t>
      </w:r>
    </w:p>
    <w:p>
      <w:pPr>
        <w:spacing w:after="160" w:line="276"/>
      </w:pPr>
      <w:r>
        <w:rPr>
          <w:rFonts w:ascii="Arial" w:cs="Arial" w:eastAsia="Arial" w:hAnsi="Arial"/>
          <w:color w:val="1A1A2E"/>
          <w:sz w:val="21"/>
          <w:szCs w:val="21"/>
        </w:rPr>
        <w:t xml:space="preserve">CrowdTrain operates a progressive flywheel: simulation training → qualification → paid deployment → facility-connected teleop. Seven tiers, launched sequentially. Each tier gates access to the next based on demonstrated performance. Each generates the operators, data, and revenue that justify building the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100"/>
        <w:gridCol w:w="3960"/>
        <w:gridCol w:w="2300"/>
      </w:tblGrid>
      <w:t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2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What Operators Do</w:t>
            </w:r>
          </w:p>
        </w:tc>
        <w:tc>
          <w:tcPr>
            <w:tcW w:type="dxa" w:w="2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Key Detail</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0</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Sim Academy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Browser-based manipulation training. Grasp approach, contact dynamics, failure recognition.</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Free. Soulbound NFT credentials.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1</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Data Labeling</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Annotate manipulation data with domain knowledge generic annotators lack.</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Paid. Zero hardware cost.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2</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Browser Teleop</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Control physical robot arms in CrowdTrain facilities via browser.</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Region-matched &lt;80ms latency.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3</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In-the-Wild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Collect real-world manipulation data with shipped capture devices (gloves, GoPros, smart glasses).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Devices $50–200. Earned via staking.</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4</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VR/Wearable Teleop</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Premium facility teleop with shipped VR headsets and haptic wearables.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Devices $300–500. Earned through performance.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5</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Live Deployment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Remote teleop of robots deployed in real homes, warehouses, and factory floors. On-demand or scheduled edge-case intervention and supervision.</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Strict region-lock &lt;100ms. Customer hardware.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6</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Failure Analysis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Diagnose autonomous failures. Prescribe corrections. Execute partner missions on shipped hardware.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Highest-value data. Premium rates.</w:t>
            </w:r>
          </w:p>
        </w:tc>
      </w:tr>
    </w:tbl>
    <w:p>
      <w:pPr>
        <w:spacing w:after="160"/>
      </w:pPr>
    </w:p>
    <w:p>
      <w:pPr>
        <w:spacing w:after="160" w:line="276"/>
      </w:pPr>
      <w:r>
        <w:rPr>
          <w:rFonts w:ascii="Arial" w:cs="Arial" w:eastAsia="Arial" w:hAnsi="Arial"/>
          <w:i/>
          <w:iCs/>
          <w:color w:val="1A1A2E"/>
          <w:sz w:val="21"/>
          <w:szCs w:val="21"/>
        </w:rPr>
        <w:t>Current focus: Tier 0 (simulation) MVP is live. Tier 1 (labeling) follows in coming months. Upper tiers scale only after lower tiers validate.</w:t>
      </w:r>
    </w:p>
    <w:p>
      <w:pPr>
        <w:pStyle w:val="Heading2"/>
        <w:spacing w:after="140" w:before="280"/>
      </w:pPr>
      <w:r>
        <w:rPr>
          <w:rFonts w:ascii="Arial" w:cs="Arial" w:eastAsia="Arial" w:hAnsi="Arial"/>
          <w:b/>
          <w:bCs/>
          <w:color w:val="2E75B6"/>
          <w:sz w:val="24"/>
          <w:szCs w:val="24"/>
        </w:rPr>
        <w:t xml:space="preserve">Gamification as Retention Infrastructure</w:t>
      </w:r>
    </w:p>
    <w:p>
      <w:pPr>
        <w:spacing w:after="160" w:line="276"/>
      </w:pPr>
      <w:r>
        <w:rPr>
          <w:rFonts w:ascii="Arial" w:cs="Arial" w:eastAsia="Arial" w:hAnsi="Arial"/>
          <w:color w:val="1A1A2E"/>
          <w:sz w:val="21"/>
          <w:szCs w:val="21"/>
        </w:rPr>
        <w:t xml:space="preserve">The pipeline only works if operators complete the funnel. The single largest risk to any contributor network is churn at the bottom—operators who sign up, attempt a few tasks, and leave before they become useful. CrowdTrain’s answer is not a tutorial with a quiz. It is a game engine.</w:t>
      </w:r>
    </w:p>
    <w:p>
      <w:pPr>
        <w:spacing w:after="160" w:line="276"/>
      </w:pPr>
      <w:r>
        <w:rPr>
          <w:rFonts w:ascii="Arial" w:cs="Arial" w:eastAsia="Arial" w:hAnsi="Arial"/>
          <w:color w:val="1A1A2E"/>
          <w:sz w:val="21"/>
          <w:szCs w:val="21"/>
        </w:rPr>
        <w:t xml:space="preserve">The Tier 0 simulation environment fuses MuJoCo’s physics engine—the gold standard for manipulation research—with Unity’s game rendering layer. The result is a training environment that is physically accurate enough to produce transferable manipulation skills, but looks and feels like a game: visual feedback, progression systems, real-time scoring, and challenge design that makes learning grasp approach, contact dynamics, and failure recognition feel like play rather than coursework. This is the core technical insight from DeFi Land: the founding team spent years learning that complex, repetitive actions sustain engagement only when the feedback loop is immediate, visible, and competitive. They shipped that for DeFi mechanics at 100K MAU. CrowdTrain applies the same design philosophy to robotics operator training.</w:t>
      </w:r>
    </w:p>
    <w:p>
      <w:pPr>
        <w:spacing w:after="160" w:line="276"/>
      </w:pPr>
      <w:r>
        <w:rPr>
          <w:rFonts w:ascii="Arial" w:cs="Arial" w:eastAsia="Arial" w:hAnsi="Arial"/>
          <w:color w:val="1A1A2E"/>
          <w:sz w:val="21"/>
          <w:szCs w:val="21"/>
        </w:rPr>
        <w:t xml:space="preserve">Gamification extends beyond Tier 0. Data labeling—the highest-churn task on every annotation platform—is structured around leaderboards, accuracy streaks, squad-based missions, and XP systems that unlock higher-paying tiers. Operators do not just complete tasks; they compete, rank, and build visible reputation. Scale AI solves labeling churn with QA headcount and replacement hiring. CrowdTrain solves it by making the work intrinsically engaging. This is the retention moat: if operators stay longer, they produce more data, reach higher tiers faster, and generate more revenue per contributor. Gamification is not a feature—it is the mechanism that makes the entire progressive pipeline economically viable.</w:t>
      </w:r>
    </w:p>
    <w:p>
      <w:pPr>
        <w:spacing w:after="160" w:line="276"/>
      </w:pPr>
      <w:r>
        <w:rPr>
          <w:rFonts w:ascii="Arial" w:cs="Arial" w:eastAsia="Arial" w:hAnsi="Arial"/>
          <w:color w:val="1A1A2E"/>
          <w:sz w:val="21"/>
          <w:szCs w:val="21"/>
        </w:rPr>
        <w:t xml:space="preserve">Game mechanics also generate something harder to replicate than any individual feature: community. Squads form around labeling missions. Higher-tier operators mentor lower-tier ones because it builds reputation and unlocks rewards. Sub-communities self-organize around specific robot embodiments, task types, and regional nodes. Robotics teleoperators are an emerging professional class that does not yet have a home—no equivalent of GitHub for developers or Behance for designers. As this workforce scales from thousands to millions, whoever builds their professional community owns the talent pool. An operator with reputation, mentorship relationships, and sub-community membership inside CrowdTrain does not leave for a marginally better rate on a competing platform. The switching cost is social, not just economic.</w:t>
      </w:r>
    </w:p>
    <w:p>
      <w:pPr>
        <w:pStyle w:val="Heading2"/>
        <w:spacing w:after="140" w:before="280"/>
      </w:pPr>
      <w:r>
        <w:rPr>
          <w:rFonts w:ascii="Arial" w:cs="Arial" w:eastAsia="Arial" w:hAnsi="Arial"/>
          <w:b/>
          <w:bCs/>
          <w:color w:val="2E75B6"/>
          <w:sz w:val="24"/>
          <w:szCs w:val="24"/>
        </w:rPr>
        <w:t xml:space="preserve">The Node Network: Decentralized Physical Infrastructure</w:t>
      </w:r>
    </w:p>
    <w:p>
      <w:pPr>
        <w:spacing w:after="160" w:line="276"/>
      </w:pPr>
      <w:r>
        <w:rPr>
          <w:rFonts w:ascii="Arial" w:cs="Arial" w:eastAsia="Arial" w:hAnsi="Arial"/>
          <w:color w:val="1A1A2E"/>
          <w:sz w:val="21"/>
          <w:szCs w:val="21"/>
        </w:rPr>
        <w:t xml:space="preserve">CrowdTrain’s physical layer is a network of robot arm nodes—controlled facilities housing arms, sensors, and partner hardware that remote operators connect to. This is the DePIN model applied to robotics infrastructure: nodes are operated by local partners (universities, hardware companies, regional operators) who earn revenue share for hosting. CrowdTrain provides software, operator routing, and quality standards. Partners provide space and hardware.</w:t>
      </w:r>
    </w:p>
    <w:p>
      <w:pPr>
        <w:spacing w:after="160" w:line="276"/>
      </w:pPr>
      <w:r>
        <w:rPr>
          <w:rFonts w:ascii="Arial" w:cs="Arial" w:eastAsia="Arial" w:hAnsi="Arial"/>
          <w:b/>
          <w:bCs/>
          <w:color w:val="1A1A2E"/>
          <w:sz w:val="21"/>
          <w:szCs w:val="21"/>
        </w:rPr>
        <w:t xml:space="preserve">The Alpha Node in Tbilisi is live: </w:t>
      </w:r>
      <w:r>
        <w:rPr>
          <w:rFonts w:ascii="Arial" w:cs="Arial" w:eastAsia="Arial" w:hAnsi="Arial"/>
          <w:color w:val="1A1A2E"/>
          <w:sz w:val="21"/>
          <w:szCs w:val="21"/>
        </w:rPr>
        <w:t xml:space="preserve">the space exists, three robot arms are operational, and CrowdTrain has an active government partnership to build a full-scale robotics data center. Tbilisi offers Innovative Startup Status (0% corporate and personal income tax for up to 10 years), low operational costs, and a timezone bridging Europe and Asia.</w:t>
      </w:r>
    </w:p>
    <w:p>
      <w:pPr>
        <w:spacing w:after="160" w:line="276"/>
      </w:pPr>
      <w:r>
        <w:rPr>
          <w:rFonts w:ascii="Arial" w:cs="Arial" w:eastAsia="Arial" w:hAnsi="Arial"/>
          <w:b/>
          <w:bCs/>
          <w:color w:val="1A1A2E"/>
          <w:sz w:val="21"/>
          <w:szCs w:val="21"/>
        </w:rPr>
        <w:t xml:space="preserve">Latency architecture: </w:t>
      </w:r>
      <w:r>
        <w:rPr>
          <w:rFonts w:ascii="Arial" w:cs="Arial" w:eastAsia="Arial" w:hAnsi="Arial"/>
          <w:color w:val="1A1A2E"/>
          <w:sz w:val="21"/>
          <w:szCs w:val="21"/>
        </w:rPr>
        <w:t xml:space="preserve">Tiers 1, 3, and 6 are asynchronous—operators anywhere work on data from any node. Tier 2 (browser teleop) requires &lt;80ms latency (region-matched). Tier 4 requires &lt;50ms (strict region-lock). Tier 5 (live deployment) requires &lt;100ms to customer-site robots, strict region-lock—the operator-to-edge hop must be minimal because the last mile to the robot runs on the customer’s network, not CrowdTrain’s. 24/7 utilization comes from async tiers filling off-peak hours globally, not from routing live teleop across continents. This constraint creates a clear incentive for node expansion: each new regional node unlocks a new pool of real-time operators and a new catchment area for deployed-robot supervision.</w:t>
      </w:r>
    </w:p>
    <w:p>
      <w:pPr>
        <w:pStyle w:val="Heading1"/>
        <w:spacing w:after="200" w:before="360"/>
      </w:pPr>
      <w:r>
        <w:rPr>
          <w:rFonts w:ascii="Arial" w:cs="Arial" w:eastAsia="Arial" w:hAnsi="Arial"/>
          <w:b/>
          <w:bCs/>
          <w:color w:val="1A1A2E"/>
          <w:sz w:val="28"/>
          <w:szCs w:val="28"/>
        </w:rPr>
        <w:t xml:space="preserve">Why Crypto Is Structural, Not Cosmetic</w:t>
      </w:r>
    </w:p>
    <w:p>
      <w:pPr>
        <w:spacing w:after="160" w:line="276"/>
      </w:pPr>
      <w:r>
        <w:rPr>
          <w:rFonts w:ascii="Arial" w:cs="Arial" w:eastAsia="Arial" w:hAnsi="Arial"/>
          <w:color w:val="1A1A2E"/>
          <w:sz w:val="21"/>
          <w:szCs w:val="21"/>
        </w:rPr>
        <w:t xml:space="preserve">This is not a Web2 company with a token bolted on. The token is load-bearing infrastructure—remove it and the quality flywheel, hardware distribution model, and global payment rail all break. Here’s why:</w:t>
      </w:r>
    </w:p>
    <w:p>
      <w:pPr>
        <w:pStyle w:val="Heading2"/>
        <w:spacing w:after="140" w:before="280"/>
      </w:pPr>
      <w:r>
        <w:rPr>
          <w:rFonts w:ascii="Arial" w:cs="Arial" w:eastAsia="Arial" w:hAnsi="Arial"/>
          <w:b/>
          <w:bCs/>
          <w:color w:val="2E75B6"/>
          <w:sz w:val="24"/>
          <w:szCs w:val="24"/>
        </w:rPr>
        <w:t xml:space="preserve">The Quality Flywheel: Staking &gt; Gig Contracts</w:t>
      </w:r>
    </w:p>
    <w:p>
      <w:pPr>
        <w:spacing w:after="160" w:line="276"/>
      </w:pPr>
      <w:r>
        <w:rPr>
          <w:rFonts w:ascii="Arial" w:cs="Arial" w:eastAsia="Arial" w:hAnsi="Arial"/>
          <w:color w:val="1A1A2E"/>
          <w:sz w:val="21"/>
          <w:szCs w:val="21"/>
        </w:rPr>
        <w:t xml:space="preserve">Traditional platforms pay per task, creating volume incentives—operators maximize throughput at the expense of quality. CrowdTrain inverts this with staking and slashing. Operators stake tokens as skin in the game. Produce bad data, lose capital. This is quality alignment through economic incentive, not QA layers. Scale AI spends enormous effort on post-hoc quality filtering. CrowdTrain’s mechanism design makes low-quality production economically irrational at the point of creation. Where outputs can be scored automatically—sim completion rates, trajectory smoothness, labeling accuracy against holdout sets—verification is instant and objective. Where outputs require judgment—failure diagnosis quality, edge-case teleop decisions—peer review by higher-tier operators and slashing for adversarial behavior close the loop. The combination handles routine quality at zero marginal cost and reserves human review for the cases that actually need it.</w:t>
      </w:r>
    </w:p>
    <w:p>
      <w:pPr>
        <w:pStyle w:val="Heading2"/>
        <w:spacing w:after="140" w:before="280"/>
      </w:pPr>
      <w:r>
        <w:rPr>
          <w:rFonts w:ascii="Arial" w:cs="Arial" w:eastAsia="Arial" w:hAnsi="Arial"/>
          <w:b/>
          <w:bCs/>
          <w:color w:val="2E75B6"/>
          <w:sz w:val="24"/>
          <w:szCs w:val="24"/>
        </w:rPr>
        <w:t xml:space="preserve">Hardware Staking: The Killer DePIN Use Case</w:t>
      </w:r>
    </w:p>
    <w:p>
      <w:pPr>
        <w:spacing w:after="160" w:line="276"/>
      </w:pPr>
      <w:r>
        <w:rPr>
          <w:rFonts w:ascii="Arial" w:cs="Arial" w:eastAsia="Arial" w:hAnsi="Arial"/>
          <w:color w:val="1A1A2E"/>
          <w:sz w:val="21"/>
          <w:szCs w:val="21"/>
        </w:rPr>
        <w:t xml:space="preserve">This is where the token earns concrete, non-speculative utility. Operators stake tokens equivalent to hardware cost as a deposit to receive VR headsets and wearable devices ($300–500). Stake unlocks progressively as they complete qualified teleop hours. If they stop working, they return the device or forfeit stake. The token doesn’t just represent governance or speculation—it unlocks physical capital and higher-paying work tiers. By the time operators reach Tier 4, they’ve invested hundreds of hours in sim, labeling, in-the-wild collection, and browser teleop. Their soulbound credentials document proven quality. The hardware investment is justified by demonstrated ROI—not hopeful speculation. This is the opposite of Sensei’s model (ship hardware first, hope they produce) and BitRobot’s model (sell devices to anyone).</w:t>
      </w:r>
    </w:p>
    <w:p>
      <w:pPr>
        <w:pStyle w:val="Heading2"/>
        <w:spacing w:after="140" w:before="280"/>
      </w:pPr>
      <w:r>
        <w:rPr>
          <w:rFonts w:ascii="Arial" w:cs="Arial" w:eastAsia="Arial" w:hAnsi="Arial"/>
          <w:b/>
          <w:bCs/>
          <w:color w:val="2E75B6"/>
          <w:sz w:val="24"/>
          <w:szCs w:val="24"/>
        </w:rPr>
        <w:t xml:space="preserve">Soulbound Credentials: Onchain Verification for Enterprise</w:t>
      </w:r>
    </w:p>
    <w:p>
      <w:pPr>
        <w:spacing w:after="160" w:line="276"/>
      </w:pPr>
      <w:r>
        <w:rPr>
          <w:rFonts w:ascii="Arial" w:cs="Arial" w:eastAsia="Arial" w:hAnsi="Arial"/>
          <w:color w:val="1A1A2E"/>
          <w:sz w:val="21"/>
          <w:szCs w:val="21"/>
        </w:rPr>
        <w:t xml:space="preserve">Enterprise customers verify operator skill on a public ledger the platform cannot retroactively modify. Credentials document sim completion, labeling accuracy, teleop hours, quality scores—an auditable, tamper-proof skill record. This is the compliance layer enterprise procurement teams need when trusting remote operators with expensive robot hardware.</w:t>
      </w:r>
    </w:p>
    <w:p>
      <w:pPr>
        <w:pStyle w:val="Heading2"/>
        <w:spacing w:after="140" w:before="280"/>
      </w:pPr>
      <w:r>
        <w:rPr>
          <w:rFonts w:ascii="Arial" w:cs="Arial" w:eastAsia="Arial" w:hAnsi="Arial"/>
          <w:b/>
          <w:bCs/>
          <w:color w:val="2E75B6"/>
          <w:sz w:val="24"/>
          <w:szCs w:val="24"/>
        </w:rPr>
        <w:t xml:space="preserve">Global Payment Rail + Cost Arbitrage</w:t>
      </w:r>
    </w:p>
    <w:p>
      <w:pPr>
        <w:spacing w:after="160" w:line="276"/>
      </w:pPr>
      <w:r>
        <w:rPr>
          <w:rFonts w:ascii="Arial" w:cs="Arial" w:eastAsia="Arial" w:hAnsi="Arial"/>
          <w:color w:val="1A1A2E"/>
          <w:sz w:val="21"/>
          <w:szCs w:val="21"/>
        </w:rPr>
        <w:t xml:space="preserve">A decentralized workforce spanning 20+ countries cannot run on international payroll and currency conversion. Crypto settles in seconds with no intermediary cost. The cost arbitrage this enables is massive: Tesla pays $48/hr in Palo Alto vs. CrowdTrain sim-trained operators in Tbilisi, Manila, and Nairobi at $8–15/hr with verifiable onchain credentials. 3–6× cost reduction at verifiable quality.</w:t>
      </w:r>
    </w:p>
    <w:p>
      <w:pPr>
        <w:pStyle w:val="Heading2"/>
        <w:spacing w:after="140" w:before="280"/>
      </w:pPr>
      <w:r>
        <w:rPr>
          <w:rFonts w:ascii="Arial" w:cs="Arial" w:eastAsia="Arial" w:hAnsi="Arial"/>
          <w:b/>
          <w:bCs/>
          <w:color w:val="2E75B6"/>
          <w:sz w:val="24"/>
          <w:szCs w:val="24"/>
        </w:rPr>
        <w:t xml:space="preserve">Token Value Accrual: The Burn Loop</w:t>
      </w:r>
    </w:p>
    <w:p>
      <w:pPr>
        <w:spacing w:after="160" w:line="276"/>
      </w:pPr>
      <w:r>
        <w:rPr>
          <w:rFonts w:ascii="Arial" w:cs="Arial" w:eastAsia="Arial" w:hAnsi="Arial"/>
          <w:color w:val="1A1A2E"/>
          <w:sz w:val="21"/>
          <w:szCs w:val="21"/>
        </w:rPr>
        <w:t xml:space="preserve">The token has strong utility on the supply side—operators stake to unlock hardware, lose stake for poor quality. But utility alone doesn’t sustain price if operators immediately convert to fiat. CrowdTrain closes this loop through a programmatic burn mechanism: a fixed percentage of all fiat revenue from enterprise contracts is used to market-buy and permanently burn tokens. Operators earn tokens. Enterprises pay fiat. Fiat buys and burns tokens. The economic loop is closed without relying on emissions or speculative demand—enterprise revenue growth directly drives token scarcity.</w:t>
      </w:r>
    </w:p>
    <w:p>
      <w:pPr>
        <w:spacing w:after="160" w:line="276"/>
      </w:pPr>
      <w:r>
        <w:rPr>
          <w:rFonts w:ascii="Arial" w:cs="Arial" w:eastAsia="Arial" w:hAnsi="Arial"/>
          <w:b/>
          <w:bCs/>
          <w:color w:val="1A1A2E"/>
          <w:sz w:val="21"/>
          <w:szCs w:val="21"/>
        </w:rPr>
        <w:t xml:space="preserve">The complete flywheel: </w:t>
      </w:r>
      <w:r>
        <w:rPr>
          <w:rFonts w:ascii="Arial" w:cs="Arial" w:eastAsia="Arial" w:hAnsi="Arial"/>
          <w:color w:val="1A1A2E"/>
          <w:sz w:val="21"/>
          <w:szCs w:val="21"/>
        </w:rPr>
        <w:t xml:space="preserve">Sim trains operators (token emissions subsidize training) → Qualified operators produce data (staking ensures quality) → Data generates enterprise revenue (fiat) → Fiat buys and burns tokens (scarcity increases) → Token value rises → Staking deposits become more valuable → Stronger incentive to qualify and produce → Better data → More enterprise demand. And every hour of operator work—across all seven tiers—simultaneously produces structured byproduct data that compounds into a proprietary Intelligence Library.</w:t>
      </w:r>
    </w:p>
    <w:p>
      <w:pPr>
        <w:spacing w:after="160" w:line="276"/>
      </w:pPr>
      <w:r>
        <w:rPr>
          <w:rFonts w:ascii="Arial" w:cs="Arial" w:eastAsia="Arial" w:hAnsi="Arial"/>
          <w:color w:val="1A1A2E"/>
          <w:sz w:val="21"/>
          <w:szCs w:val="21"/>
        </w:rPr>
        <w:t xml:space="preserve">There is a second-order effect worth naming. CrowdTrain operators in Tbilisi, Manila, and Nairobi are not buying into crypto—they are earning into it by performing robotics work. As they accumulate token balances, those earnings naturally flow into spending, saving, and eventually into onchain financial activity: yield, lending, trading. The token doesn’t just compensate—it onboards. Every operator who earns, holds, and compounds on Solana is a new participant in the broader crypto economy, acquired not through speculation but through paid work.</w:t>
      </w:r>
    </w:p>
    <w:p>
      <w:pPr>
        <w:pStyle w:val="Heading1"/>
        <w:spacing w:after="200" w:before="360"/>
      </w:pPr>
      <w:r>
        <w:rPr>
          <w:rFonts w:ascii="Arial" w:cs="Arial" w:eastAsia="Arial" w:hAnsi="Arial"/>
          <w:b/>
          <w:bCs/>
          <w:color w:val="1A1A2E"/>
          <w:sz w:val="28"/>
          <w:szCs w:val="28"/>
        </w:rPr>
        <w:t xml:space="preserve">Go-to-Market</w:t>
      </w:r>
    </w:p>
    <w:p>
      <w:pPr>
        <w:spacing w:after="160" w:line="276"/>
      </w:pPr>
      <w:r>
        <w:rPr>
          <w:rFonts w:ascii="Arial" w:cs="Arial" w:eastAsia="Arial" w:hAnsi="Arial"/>
          <w:b/>
          <w:bCs/>
          <w:color w:val="1A1A2E"/>
          <w:sz w:val="21"/>
          <w:szCs w:val="21"/>
        </w:rPr>
        <w:t xml:space="preserve">Wedge: </w:t>
      </w:r>
      <w:r>
        <w:rPr>
          <w:rFonts w:ascii="Arial" w:cs="Arial" w:eastAsia="Arial" w:hAnsi="Arial"/>
          <w:color w:val="1A1A2E"/>
          <w:sz w:val="21"/>
          <w:szCs w:val="21"/>
        </w:rPr>
        <w:t xml:space="preserve">Free structured manipulation data for 2–3 design partners. Robotics companies get high-quality labeled data at no cost in exchange for feedback and task specs. Eliminates procurement friction, builds reference customers for paid tiers.</w:t>
      </w:r>
    </w:p>
    <w:p>
      <w:pPr>
        <w:spacing w:after="160" w:line="276"/>
      </w:pPr>
      <w:r>
        <w:rPr>
          <w:rFonts w:ascii="Arial" w:cs="Arial" w:eastAsia="Arial" w:hAnsi="Arial"/>
          <w:b/>
          <w:bCs/>
          <w:color w:val="1A1A2E"/>
          <w:sz w:val="21"/>
          <w:szCs w:val="21"/>
        </w:rPr>
        <w:t xml:space="preserve">Primary customers: </w:t>
      </w:r>
      <w:r>
        <w:rPr>
          <w:rFonts w:ascii="Arial" w:cs="Arial" w:eastAsia="Arial" w:hAnsi="Arial"/>
          <w:color w:val="1A1A2E"/>
          <w:sz w:val="21"/>
          <w:szCs w:val="21"/>
        </w:rPr>
        <w:t xml:space="preserve">Robotics companies building humanoids and manipulation systems (Figure, 1X, Apptronik, and dozens of funded startups). Secondary: hardware companies needing embodiment-specific data. Tertiary: enterprise deployers needing remote operator pools.</w:t>
      </w:r>
    </w:p>
    <w:p>
      <w:pPr>
        <w:spacing w:after="160" w:line="276"/>
      </w:pPr>
      <w:r>
        <w:rPr>
          <w:rFonts w:ascii="Arial" w:cs="Arial" w:eastAsia="Arial" w:hAnsi="Arial"/>
          <w:b/>
          <w:bCs/>
          <w:color w:val="1A1A2E"/>
          <w:sz w:val="21"/>
          <w:szCs w:val="21"/>
        </w:rPr>
        <w:t xml:space="preserve">Operator supply distribution: </w:t>
      </w:r>
      <w:r>
        <w:rPr>
          <w:rFonts w:ascii="Arial" w:cs="Arial" w:eastAsia="Arial" w:hAnsi="Arial"/>
          <w:color w:val="1A1A2E"/>
          <w:sz w:val="21"/>
          <w:szCs w:val="21"/>
        </w:rPr>
        <w:t xml:space="preserve">Solana/DePIN communities are the initial recruitment channel—the founding team’s existing 100K+ community from DeFi Land is a direct pipeline. Georgian government partnership provides facility infrastructure. University robotics labs are the partner node network.</w:t>
      </w:r>
    </w:p>
    <w:p>
      <w:pPr>
        <w:pStyle w:val="Heading1"/>
        <w:spacing w:after="200" w:before="360"/>
      </w:pPr>
      <w:r>
        <w:rPr>
          <w:rFonts w:ascii="Arial" w:cs="Arial" w:eastAsia="Arial" w:hAnsi="Arial"/>
          <w:b/>
          <w:bCs/>
          <w:color w:val="1A1A2E"/>
          <w:sz w:val="28"/>
          <w:szCs w:val="28"/>
        </w:rPr>
        <w:t xml:space="preserve">Business Model</w:t>
      </w:r>
    </w:p>
    <w:p>
      <w:pPr>
        <w:spacing w:after="160" w:line="276"/>
      </w:pPr>
      <w:r>
        <w:rPr>
          <w:rFonts w:ascii="Arial" w:cs="Arial" w:eastAsia="Arial" w:hAnsi="Arial"/>
          <w:b/>
          <w:bCs/>
          <w:color w:val="1A1A2E"/>
          <w:sz w:val="21"/>
          <w:szCs w:val="21"/>
        </w:rPr>
        <w:t xml:space="preserve">1. Data services (now): </w:t>
      </w:r>
      <w:r>
        <w:rPr>
          <w:rFonts w:ascii="Arial" w:cs="Arial" w:eastAsia="Arial" w:hAnsi="Arial"/>
          <w:color w:val="1A1A2E"/>
          <w:sz w:val="21"/>
          <w:szCs w:val="21"/>
        </w:rPr>
        <w:t xml:space="preserve">Enterprise contracts for qualified manipulation data—labeling, demonstrations, failure analysis. Priced per operator-hour. Target: 3–6× cheaper than in-house teams.</w:t>
      </w:r>
    </w:p>
    <w:p>
      <w:pPr>
        <w:spacing w:after="160" w:line="276"/>
      </w:pPr>
      <w:r>
        <w:rPr>
          <w:rFonts w:ascii="Arial" w:cs="Arial" w:eastAsia="Arial" w:hAnsi="Arial"/>
          <w:b/>
          <w:bCs/>
          <w:color w:val="1A1A2E"/>
          <w:sz w:val="21"/>
          <w:szCs w:val="21"/>
        </w:rPr>
        <w:t xml:space="preserve">2. Partner hardware placements (2027): </w:t>
      </w:r>
      <w:r>
        <w:rPr>
          <w:rFonts w:ascii="Arial" w:cs="Arial" w:eastAsia="Arial" w:hAnsi="Arial"/>
          <w:color w:val="1A1A2E"/>
          <w:sz w:val="21"/>
          <w:szCs w:val="21"/>
        </w:rPr>
        <w:t xml:space="preserve">Robotics companies ship hardware to CrowdTrain nodes for dedicated data runs. Premium pricing for embodiment-specific data.</w:t>
      </w:r>
    </w:p>
    <w:p>
      <w:pPr>
        <w:spacing w:after="160" w:line="276"/>
      </w:pPr>
      <w:r>
        <w:rPr>
          <w:rFonts w:ascii="Arial" w:cs="Arial" w:eastAsia="Arial" w:hAnsi="Arial"/>
          <w:b/>
          <w:bCs/>
          <w:color w:val="1A1A2E"/>
          <w:sz w:val="21"/>
          <w:szCs w:val="21"/>
        </w:rPr>
        <w:t xml:space="preserve">3. Intelligence licensing (2028+): </w:t>
      </w:r>
      <w:r>
        <w:rPr>
          <w:rFonts w:ascii="Arial" w:cs="Arial" w:eastAsia="Arial" w:hAnsi="Arial"/>
          <w:color w:val="1A1A2E"/>
          <w:sz w:val="21"/>
          <w:szCs w:val="21"/>
        </w:rPr>
        <w:t xml:space="preserve">Every operator hour produces structured byproduct data. Over time: data licensing, benchmarking services, proprietary manipulation models.</w:t>
      </w:r>
    </w:p>
    <w:p>
      <w:pPr>
        <w:pStyle w:val="Heading1"/>
        <w:spacing w:after="200" w:before="360"/>
      </w:pPr>
      <w:r>
        <w:rPr>
          <w:rFonts w:ascii="Arial" w:cs="Arial" w:eastAsia="Arial" w:hAnsi="Arial"/>
          <w:b/>
          <w:bCs/>
          <w:color w:val="1A1A2E"/>
          <w:sz w:val="28"/>
          <w:szCs w:val="28"/>
        </w:rPr>
        <w:t xml:space="preserve">Traction</w:t>
      </w:r>
    </w:p>
    <w:p>
      <w:pPr>
        <w:spacing w:after="160" w:line="276"/>
      </w:pPr>
      <w:r>
        <w:rPr>
          <w:rFonts w:ascii="Arial" w:cs="Arial" w:eastAsia="Arial" w:hAnsi="Arial"/>
          <w:color w:val="1A1A2E"/>
          <w:sz w:val="21"/>
          <w:szCs w:val="21"/>
        </w:rPr>
        <w:t xml:space="preserve">Pre-revenue. Simulation MVP for training and labeling is built and operational. Current signals:</w:t>
      </w:r>
    </w:p>
    <w:p>
      <w:pPr>
        <w:spacing w:after="160" w:line="276"/>
      </w:pPr>
      <w:r>
        <w:rPr>
          <w:rFonts w:ascii="Arial" w:cs="Arial" w:eastAsia="Arial" w:hAnsi="Arial"/>
          <w:b/>
          <w:bCs/>
          <w:color w:val="1A1A2E"/>
          <w:sz w:val="21"/>
          <w:szCs w:val="21"/>
        </w:rPr>
        <w:t xml:space="preserve">• Alpha Node operational </w:t>
      </w:r>
      <w:r>
        <w:rPr>
          <w:rFonts w:ascii="Arial" w:cs="Arial" w:eastAsia="Arial" w:hAnsi="Arial"/>
          <w:color w:val="1A1A2E"/>
          <w:sz w:val="21"/>
          <w:szCs w:val="21"/>
        </w:rPr>
        <w:t xml:space="preserve">— Physical facility in Tbilisi with three robot arms running. Hardware is live, not planned.</w:t>
      </w:r>
    </w:p>
    <w:p>
      <w:pPr>
        <w:spacing w:after="160" w:line="276"/>
      </w:pPr>
      <w:r>
        <w:rPr>
          <w:rFonts w:ascii="Arial" w:cs="Arial" w:eastAsia="Arial" w:hAnsi="Arial"/>
          <w:b/>
          <w:bCs/>
          <w:color w:val="1A1A2E"/>
          <w:sz w:val="21"/>
          <w:szCs w:val="21"/>
        </w:rPr>
        <w:t xml:space="preserve">• Government of Georgia partnership </w:t>
      </w:r>
      <w:r>
        <w:rPr>
          <w:rFonts w:ascii="Arial" w:cs="Arial" w:eastAsia="Arial" w:hAnsi="Arial"/>
          <w:color w:val="1A1A2E"/>
          <w:sz w:val="21"/>
          <w:szCs w:val="21"/>
        </w:rPr>
        <w:t xml:space="preserve">— Active agreement to build a full-scale robotics data center.</w:t>
      </w:r>
    </w:p>
    <w:p>
      <w:pPr>
        <w:spacing w:after="160" w:line="276"/>
      </w:pPr>
      <w:r>
        <w:rPr>
          <w:rFonts w:ascii="Arial" w:cs="Arial" w:eastAsia="Arial" w:hAnsi="Arial"/>
          <w:b/>
          <w:bCs/>
          <w:color w:val="1A1A2E"/>
          <w:sz w:val="21"/>
          <w:szCs w:val="21"/>
        </w:rPr>
        <w:t xml:space="preserve">• Innovative Startup Status secured </w:t>
      </w:r>
      <w:r>
        <w:rPr>
          <w:rFonts w:ascii="Arial" w:cs="Arial" w:eastAsia="Arial" w:hAnsi="Arial"/>
          <w:color w:val="1A1A2E"/>
          <w:sz w:val="21"/>
          <w:szCs w:val="21"/>
        </w:rPr>
        <w:t xml:space="preserve">— 0% corporate and personal income tax for up to 10 years.</w:t>
      </w:r>
    </w:p>
    <w:p>
      <w:pPr>
        <w:spacing w:after="160" w:line="276"/>
      </w:pPr>
      <w:r>
        <w:rPr>
          <w:rFonts w:ascii="Arial" w:cs="Arial" w:eastAsia="Arial" w:hAnsi="Arial"/>
          <w:b/>
          <w:bCs/>
          <w:color w:val="1A1A2E"/>
          <w:sz w:val="21"/>
          <w:szCs w:val="21"/>
        </w:rPr>
        <w:t xml:space="preserve">• Team shipping </w:t>
      </w:r>
      <w:r>
        <w:rPr>
          <w:rFonts w:ascii="Arial" w:cs="Arial" w:eastAsia="Arial" w:hAnsi="Arial"/>
          <w:color w:val="1A1A2E"/>
          <w:sz w:val="21"/>
          <w:szCs w:val="21"/>
        </w:rPr>
        <w:t xml:space="preserve">— Five people. Simulation MVP for training and labeling is live. Validation study planned Q2 2026.</w:t>
      </w:r>
    </w:p>
    <w:p>
      <w:pPr>
        <w:spacing w:after="160" w:line="276"/>
      </w:pPr>
      <w:r>
        <w:rPr>
          <w:rFonts w:ascii="Arial" w:cs="Arial" w:eastAsia="Arial" w:hAnsi="Arial"/>
          <w:b/>
          <w:bCs/>
          <w:color w:val="1A1A2E"/>
          <w:sz w:val="21"/>
          <w:szCs w:val="21"/>
        </w:rPr>
        <w:t xml:space="preserve">• Founding team track record </w:t>
      </w:r>
      <w:r>
        <w:rPr>
          <w:rFonts w:ascii="Arial" w:cs="Arial" w:eastAsia="Arial" w:hAnsi="Arial"/>
          <w:color w:val="1A1A2E"/>
          <w:sz w:val="21"/>
          <w:szCs w:val="21"/>
        </w:rPr>
        <w:t xml:space="preserve">— DeFi Land: 100K MAU on Solana, community still active after five years. Proves the team can build and sustain token-incentivized platforms at scale.</w:t>
      </w:r>
    </w:p>
    <w:p>
      <w:pPr>
        <w:pStyle w:val="Heading1"/>
        <w:spacing w:after="200" w:before="360"/>
      </w:pPr>
      <w:r>
        <w:rPr>
          <w:rFonts w:ascii="Arial" w:cs="Arial" w:eastAsia="Arial" w:hAnsi="Arial"/>
          <w:b/>
          <w:bCs/>
          <w:color w:val="1A1A2E"/>
          <w:sz w:val="28"/>
          <w:szCs w:val="28"/>
        </w:rPr>
        <w:t xml:space="preserve">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700"/>
        <w:gridCol w:w="1200"/>
        <w:gridCol w:w="3160"/>
      </w:tblGrid>
      <w:t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Company</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Workforce</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Training</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Crypto</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Key Weakness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Scale AI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240K gig workers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Qual tests + tooling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None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Image/text, not manipulation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micro1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130K AI-recruited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Recruits experts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None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Expert pool doesn’t exist at scale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BitRobot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Global subnets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None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Token planned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Untrained; navigation-heavy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Sensei (YC)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Distributed + hw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Task instructions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None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Ships hw first, trains never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PrismaX (a16z)</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Decentralized teleop</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Quiz-based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Token ($11M)</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No progressive training pipeline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CrowdTrain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Sim-trained + facilities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6-tier progression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Solana native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See honest risks below</w:t>
            </w:r>
          </w:p>
        </w:tc>
      </w:tr>
    </w:tbl>
    <w:p>
      <w:pPr>
        <w:spacing w:after="160"/>
      </w:pPr>
    </w:p>
    <w:p>
      <w:pPr>
        <w:spacing w:after="160" w:line="276"/>
      </w:pPr>
      <w:r>
        <w:rPr>
          <w:rFonts w:ascii="Arial" w:cs="Arial" w:eastAsia="Arial" w:hAnsi="Arial"/>
          <w:b/>
          <w:bCs/>
          <w:color w:val="1A1A2E"/>
          <w:sz w:val="21"/>
          <w:szCs w:val="21"/>
        </w:rPr>
        <w:t xml:space="preserve">The gap: </w:t>
      </w:r>
      <w:r>
        <w:rPr>
          <w:rFonts w:ascii="Arial" w:cs="Arial" w:eastAsia="Arial" w:hAnsi="Arial"/>
          <w:color w:val="1A1A2E"/>
          <w:sz w:val="21"/>
          <w:szCs w:val="21"/>
        </w:rPr>
        <w:t xml:space="preserve">Nobody combines a progressive training pipeline with token-incentivized quality mechanics, decentralized physical infrastructure, and hardware staking. BitRobot incentivizes untrained crowds. Scale AI wraps cheap labor in tooling. PrismaX runs a browser teleop arcade with surface-level gamification. Sensei ships hardware to untrained operators. Only CrowdTrain manufactures qualified people, stakes them into quality, gives them progressively better tools, and connects them to real hardware in controlled facilities.</w:t>
      </w:r>
    </w:p>
    <w:p>
      <w:pPr>
        <w:pStyle w:val="Heading1"/>
        <w:spacing w:after="200" w:before="360"/>
      </w:pPr>
      <w:r>
        <w:rPr>
          <w:rFonts w:ascii="Arial" w:cs="Arial" w:eastAsia="Arial" w:hAnsi="Arial"/>
          <w:b/>
          <w:bCs/>
          <w:color w:val="1A1A2E"/>
          <w:sz w:val="28"/>
          <w:szCs w:val="28"/>
        </w:rPr>
        <w:t xml:space="preserve">Vision</w:t>
      </w:r>
    </w:p>
    <w:p>
      <w:pPr>
        <w:spacing w:after="160" w:line="276"/>
      </w:pPr>
      <w:r>
        <w:rPr>
          <w:rFonts w:ascii="Arial" w:cs="Arial" w:eastAsia="Arial" w:hAnsi="Arial"/>
          <w:color w:val="1A1A2E"/>
          <w:sz w:val="21"/>
          <w:szCs w:val="21"/>
        </w:rPr>
        <w:t xml:space="preserve">The wedge is operator services. The endgame is owning the manipulation intelligence layer.</w:t>
      </w:r>
    </w:p>
    <w:p>
      <w:pPr>
        <w:spacing w:after="160" w:line="276"/>
      </w:pPr>
      <w:r>
        <w:rPr>
          <w:rFonts w:ascii="Arial" w:cs="Arial" w:eastAsia="Arial" w:hAnsi="Arial"/>
          <w:color w:val="1A1A2E"/>
          <w:sz w:val="21"/>
          <w:szCs w:val="21"/>
        </w:rPr>
        <w:t xml:space="preserve">Every operator hour across all tiers produces structured byproduct data: sim traces, labeled failures, in-the-wild demonstrations, teleop trajectories, diagnostic analyses. This compounds into a proprietary Intelligence Library. By 2028, CrowdTrain becomes the platform that both produces and licenses the data that trains every robot to grasp, assemble, and recover. The operator network is the moat. The dataset is the asset. The token-incentivized facility network is the infrastructure that makes it all compound.</w:t>
      </w:r>
    </w:p>
    <w:p>
      <w:pPr>
        <w:spacing w:after="160" w:line="276"/>
      </w:pPr>
      <w:r>
        <w:rPr>
          <w:rFonts w:ascii="Arial" w:cs="Arial" w:eastAsia="Arial" w:hAnsi="Arial"/>
          <w:color w:val="1A1A2E"/>
          <w:sz w:val="21"/>
          <w:szCs w:val="21"/>
        </w:rPr>
        <w:t xml:space="preserve">Once CrowdTrain owns the wedge of qualified operator deployment, it has the right to expand into the full manipulation intelligence stack—proprietary models, benchmarking, and eventually the Applied Intuition of physical AI. Critically, the demand for human operators does not shrink as robots become more autonomous—it grows. More autonomy means more deployed robots, more edge cases, more verification, and more meta-work. The operator network scales with the robots it serves. And CrowdTrain becomes the professional home for the world’s robotics operators—the place where they train, earn, compete, build reputation, and belong to the community that defines their craft.</w:t>
      </w:r>
    </w:p>
    <w:p>
      <w:pPr>
        <w:pStyle w:val="Heading1"/>
        <w:spacing w:after="200" w:before="360"/>
      </w:pPr>
      <w:r>
        <w:rPr>
          <w:rFonts w:ascii="Arial" w:cs="Arial" w:eastAsia="Arial" w:hAnsi="Arial"/>
          <w:b/>
          <w:bCs/>
          <w:color w:val="1A1A2E"/>
          <w:sz w:val="28"/>
          <w:szCs w:val="28"/>
        </w:rPr>
        <w:t xml:space="preserve">Next 12 Months &amp; Use of Proceeds</w:t>
      </w:r>
    </w:p>
    <w:p>
      <w:pPr>
        <w:spacing w:after="160" w:line="276"/>
      </w:pPr>
      <w:r>
        <w:rPr>
          <w:rFonts w:ascii="Arial" w:cs="Arial" w:eastAsia="Arial" w:hAnsi="Arial"/>
          <w:b/>
          <w:bCs/>
          <w:color w:val="1A1A2E"/>
          <w:sz w:val="21"/>
          <w:szCs w:val="21"/>
        </w:rPr>
        <w:t xml:space="preserve">Q2 2026: </w:t>
      </w:r>
      <w:r>
        <w:rPr>
          <w:rFonts w:ascii="Arial" w:cs="Arial" w:eastAsia="Arial" w:hAnsi="Arial"/>
          <w:color w:val="1A1A2E"/>
          <w:sz w:val="21"/>
          <w:szCs w:val="21"/>
        </w:rPr>
        <w:t xml:space="preserve">Simulation MVP (MuJoCo backend) is live for training and labeling. Recruit 100 early operators from Solana/DePIN communities. Run the critical validation study: 50 participants, half sim-trained, half untrained, measured on downstream model performance using Alpha Node arms. If sim-trained operators don’t produce measurably better data, the thesis needs revision. Publish results.</w:t>
      </w:r>
    </w:p>
    <w:p>
      <w:pPr>
        <w:spacing w:after="160" w:line="276"/>
      </w:pPr>
      <w:r>
        <w:rPr>
          <w:rFonts w:ascii="Arial" w:cs="Arial" w:eastAsia="Arial" w:hAnsi="Arial"/>
          <w:b/>
          <w:bCs/>
          <w:color w:val="1A1A2E"/>
          <w:sz w:val="21"/>
          <w:szCs w:val="21"/>
        </w:rPr>
        <w:t xml:space="preserve">Q3 2026: </w:t>
      </w:r>
      <w:r>
        <w:rPr>
          <w:rFonts w:ascii="Arial" w:cs="Arial" w:eastAsia="Arial" w:hAnsi="Arial"/>
          <w:color w:val="1A1A2E"/>
          <w:sz w:val="21"/>
          <w:szCs w:val="21"/>
        </w:rPr>
        <w:t xml:space="preserve">Alpha Node fully operational with 3–5 arms. Publish validation study. Offer free data to 2–3 design partners. Deploy token on devnet. Soulbound credentials live. Government of Georgia robotics center partnership formalized. Target: 500+ trained operators, 40%+ facility utilization.</w:t>
      </w:r>
    </w:p>
    <w:p>
      <w:pPr>
        <w:spacing w:after="160" w:line="276"/>
      </w:pPr>
      <w:r>
        <w:rPr>
          <w:rFonts w:ascii="Arial" w:cs="Arial" w:eastAsia="Arial" w:hAnsi="Arial"/>
          <w:b/>
          <w:bCs/>
          <w:color w:val="1A1A2E"/>
          <w:sz w:val="21"/>
          <w:szCs w:val="21"/>
        </w:rPr>
        <w:t xml:space="preserve">Q4 2026: </w:t>
      </w:r>
      <w:r>
        <w:rPr>
          <w:rFonts w:ascii="Arial" w:cs="Arial" w:eastAsia="Arial" w:hAnsi="Arial"/>
          <w:color w:val="1A1A2E"/>
          <w:sz w:val="21"/>
          <w:szCs w:val="21"/>
        </w:rPr>
        <w:t xml:space="preserve">Convert design partners to paid contracts. Ship first VR/wearable kits to top operators. Token mainnet launch. Begin contracting partner node operators (university labs). Target: 3+ paying customers, $500K+ ARR run rate, 70%+ utilization.</w:t>
      </w:r>
    </w:p>
    <w:p>
      <w:pPr>
        <w:pBdr>
          <w:top w:val="single" w:color="2E75B6" w:sz="4" w:space="8"/>
        </w:pBdr>
        <w:spacing w:before="400"/>
      </w:pPr>
    </w:p>
    <w:p>
      <w:pPr>
        <w:spacing w:after="160" w:line="276"/>
      </w:pPr>
      <w:r>
        <w:rPr>
          <w:rFonts w:ascii="Arial" w:cs="Arial" w:eastAsia="Arial" w:hAnsi="Arial"/>
          <w:i/>
          <w:iCs/>
          <w:color w:val="666666"/>
          <w:sz w:val="21"/>
          <w:szCs w:val="21"/>
        </w:rPr>
        <w:t xml:space="preserve">This memo is a working document. Next actions: (1) run the operator quality validation study, (2) convert design partners to paid contracts.</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0"/>
    </w:pPr>
    <w:r>
      <w:rPr>
        <w:rFonts w:ascii="Arial" w:cs="Arial" w:eastAsia="Arial" w:hAnsi="Arial"/>
        <w:b/>
        <w:bCs/>
        <w:color w:val="2E75B6"/>
        <w:sz w:val="18"/>
        <w:szCs w:val="18"/>
      </w:rPr>
      <w:t xml:space="preserve">CROWDTRAIN</w:t>
    </w:r>
    <w:r>
      <w:rPr>
        <w:rFonts w:ascii="Arial" w:cs="Arial" w:eastAsia="Arial" w:hAnsi="Arial"/>
        <w:color w:val="666666"/>
        <w:sz w:val="16"/>
        <w:szCs w:val="16"/>
      </w:rPr>
      <w:t xml:space="preserve">  |  Investment Memo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28"/>
      <w:szCs w:val="28"/>
    </w:rPr>
  </w:style>
  <w:style w:type="paragraph" w:styleId="Heading2">
    <w:name w:val="Heading 2"/>
    <w:basedOn w:val="Normal"/>
    <w:next w:val="Normal"/>
    <w:qFormat/>
    <w:pPr>
      <w:spacing w:after="140" w:before="2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2026-03-11T18:12:18.914Z</dcterms:created>
  <dcterms:modified xsi:type="dcterms:W3CDTF">2026-03-11T18:12:18.915Z</dcterms:modified>
</cp:coreProperties>
</file>

<file path=docProps/custom.xml><?xml version="1.0" encoding="utf-8"?>
<Properties xmlns="http://schemas.openxmlformats.org/officeDocument/2006/custom-properties" xmlns:vt="http://schemas.openxmlformats.org/officeDocument/2006/docPropsVTypes"/>
</file>