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spacing w:before="0" w:after="80" w:line="324" w:lineRule="auto"/>
        <w:jc w:val="center"/>
      </w:pPr>
      <w:r>
        <w:rPr>
          <w:b/>
          <w:i w:val="0"/>
          <w:color w:val="0F172A"/>
          <w:sz w:val="104"/>
        </w:rPr>
        <w:t>CrowdTrain</w:t>
      </w:r>
    </w:p>
    <w:p>
      <w:pPr>
        <w:spacing w:before="0" w:after="40" w:line="324" w:lineRule="auto"/>
        <w:jc w:val="center"/>
      </w:pPr>
      <w:r>
        <w:rPr>
          <w:b w:val="0"/>
          <w:i w:val="0"/>
          <w:color w:val="10B981"/>
          <w:sz w:val="44"/>
        </w:rPr>
        <w:t>Token Economy Simulation</w:t>
      </w:r>
    </w:p>
    <w:p>
      <w:pPr>
        <w:spacing w:before="0" w:after="480" w:line="324" w:lineRule="auto"/>
        <w:jc w:val="center"/>
      </w:pPr>
      <w:r>
        <w:rPr>
          <w:b w:val="0"/>
          <w:i w:val="0"/>
          <w:color w:val="475569"/>
          <w:sz w:val="36"/>
        </w:rPr>
        <w:t>v4 — Stakeholder Findings Report</w:t>
      </w:r>
    </w:p>
    <w:p>
      <w:pPr>
        <w:spacing w:before="0" w:after="160" w:line="360" w:lineRule="auto"/>
        <w:jc w:val="center"/>
      </w:pPr>
      <w:r>
        <w:rPr>
          <w:b w:val="0"/>
          <w:i/>
          <w:color w:val="475569"/>
          <w:sz w:val="24"/>
        </w:rPr>
        <w:t>An agent-based Monte Carlo simulation of CrowdTrain's seven-tier DePIN economy, designed to stress-test the token model against realistic operator, customer, and macro behavior before launch.</w:t>
      </w:r>
    </w:p>
    <w:p/>
    <w:p/>
    <w:p/>
    <w:p/>
    <w:p/>
    <w:p/>
    <w:p/>
    <w:p>
      <w:pPr>
        <w:spacing w:before="0" w:after="40" w:line="324" w:lineRule="auto"/>
        <w:jc w:val="center"/>
      </w:pPr>
      <w:r>
        <w:rPr>
          <w:b w:val="0"/>
          <w:i w:val="0"/>
          <w:color w:val="475569"/>
          <w:sz w:val="22"/>
        </w:rPr>
        <w:t>Prepared for stakeholder review</w:t>
      </w:r>
    </w:p>
    <w:p>
      <w:pPr>
        <w:spacing w:before="0" w:after="40" w:line="324" w:lineRule="auto"/>
        <w:jc w:val="center"/>
      </w:pPr>
      <w:r>
        <w:rPr>
          <w:b/>
          <w:i w:val="0"/>
          <w:sz w:val="24"/>
        </w:rPr>
        <w:t>Nika Oniani  -  CEO, CrowdTrain</w:t>
      </w:r>
    </w:p>
    <w:p>
      <w:pPr>
        <w:spacing w:before="0" w:after="120" w:line="324" w:lineRule="auto"/>
        <w:jc w:val="center"/>
      </w:pPr>
      <w:r>
        <w:rPr>
          <w:b w:val="0"/>
          <w:i w:val="0"/>
          <w:color w:val="475569"/>
          <w:sz w:val="20"/>
        </w:rPr>
        <w:t>April 2026</w:t>
      </w:r>
    </w:p>
    <w:p>
      <w:r>
        <w:br w:type="page"/>
      </w:r>
    </w:p>
    <w:p>
      <w:pPr>
        <w:spacing w:before="80" w:after="240" w:line="264" w:lineRule="auto"/>
        <w:pBdr>
          <w:bottom w:val="single" w:sz="8" w:space="6" w:color="0F172A"/>
        </w:pBdr>
      </w:pPr>
      <w:r>
        <w:rPr>
          <w:b/>
          <w:color w:val="0F172A"/>
          <w:sz w:val="44"/>
        </w:rPr>
        <w:t>Contents</w:t>
      </w:r>
    </w:p>
    <w:p>
      <w:pPr>
        <w:spacing w:before="0" w:after="40" w:line="312" w:lineRule="auto"/>
      </w:pPr>
      <w:r>
        <w:rPr>
          <w:b/>
          <w:color w:val="10B981"/>
          <w:sz w:val="24"/>
        </w:rPr>
        <w:t xml:space="preserve">Part I  </w:t>
      </w:r>
      <w:r>
        <w:rPr>
          <w:b/>
          <w:sz w:val="24"/>
        </w:rPr>
        <w:t>Background and motivation</w:t>
      </w:r>
    </w:p>
    <w:p>
      <w:pPr>
        <w:spacing w:before="0" w:after="40" w:line="312" w:lineRule="auto"/>
      </w:pPr>
      <w:r>
        <w:rPr>
          <w:color w:val="475569"/>
          <w:sz w:val="22"/>
        </w:rPr>
        <w:t xml:space="preserve">    1.  What is CrowdTrain</w:t>
      </w:r>
    </w:p>
    <w:p>
      <w:pPr>
        <w:spacing w:before="0" w:after="40" w:line="312" w:lineRule="auto"/>
      </w:pPr>
      <w:r>
        <w:rPr>
          <w:color w:val="475569"/>
          <w:sz w:val="22"/>
        </w:rPr>
        <w:t xml:space="preserve">    2.  Why simulate the token economy</w:t>
      </w:r>
    </w:p>
    <w:p>
      <w:pPr>
        <w:spacing w:before="0" w:after="40" w:line="312" w:lineRule="auto"/>
      </w:pPr>
      <w:r>
        <w:rPr>
          <w:color w:val="475569"/>
          <w:sz w:val="22"/>
        </w:rPr>
        <w:t xml:space="preserve">    3.  How this simulation evolved (v1 to v4)</w:t>
      </w:r>
    </w:p>
    <w:p>
      <w:pPr>
        <w:spacing w:before="0" w:after="40" w:line="312" w:lineRule="auto"/>
      </w:pPr>
      <w:r>
        <w:rPr>
          <w:b/>
          <w:color w:val="10B981"/>
          <w:sz w:val="24"/>
        </w:rPr>
        <w:t xml:space="preserve">Part II  </w:t>
      </w:r>
      <w:r>
        <w:rPr>
          <w:b/>
          <w:sz w:val="24"/>
        </w:rPr>
        <w:t>What we built</w:t>
      </w:r>
    </w:p>
    <w:p>
      <w:pPr>
        <w:spacing w:before="0" w:after="40" w:line="312" w:lineRule="auto"/>
      </w:pPr>
      <w:r>
        <w:rPr>
          <w:color w:val="475569"/>
          <w:sz w:val="22"/>
        </w:rPr>
        <w:t xml:space="preserve">    4.  Engine architecture and the three pillars</w:t>
      </w:r>
    </w:p>
    <w:p>
      <w:pPr>
        <w:spacing w:before="0" w:after="40" w:line="312" w:lineRule="auto"/>
      </w:pPr>
      <w:r>
        <w:rPr>
          <w:color w:val="475569"/>
          <w:sz w:val="22"/>
        </w:rPr>
        <w:t xml:space="preserve">    5.  Pillar 1 - Operators</w:t>
      </w:r>
    </w:p>
    <w:p>
      <w:pPr>
        <w:spacing w:before="0" w:after="40" w:line="312" w:lineRule="auto"/>
      </w:pPr>
      <w:r>
        <w:rPr>
          <w:color w:val="475569"/>
          <w:sz w:val="22"/>
        </w:rPr>
        <w:t xml:space="preserve">    6.  Pillar 2 - Customers</w:t>
      </w:r>
    </w:p>
    <w:p>
      <w:pPr>
        <w:spacing w:before="0" w:after="40" w:line="312" w:lineRule="auto"/>
      </w:pPr>
      <w:r>
        <w:rPr>
          <w:color w:val="475569"/>
          <w:sz w:val="22"/>
        </w:rPr>
        <w:t xml:space="preserve">    7.  Pillar 3 - Macro economy</w:t>
      </w:r>
    </w:p>
    <w:p>
      <w:pPr>
        <w:spacing w:before="0" w:after="40" w:line="312" w:lineRule="auto"/>
      </w:pPr>
      <w:r>
        <w:rPr>
          <w:color w:val="475569"/>
          <w:sz w:val="22"/>
        </w:rPr>
        <w:t xml:space="preserve">    8.  Composite scoring methodology</w:t>
      </w:r>
    </w:p>
    <w:p>
      <w:pPr>
        <w:spacing w:before="0" w:after="40" w:line="312" w:lineRule="auto"/>
      </w:pPr>
      <w:r>
        <w:rPr>
          <w:color w:val="475569"/>
          <w:sz w:val="22"/>
        </w:rPr>
        <w:t xml:space="preserve">    9.  Monte Carlo and experimental design</w:t>
      </w:r>
    </w:p>
    <w:p>
      <w:pPr>
        <w:spacing w:before="0" w:after="40" w:line="312" w:lineRule="auto"/>
      </w:pPr>
      <w:r>
        <w:rPr>
          <w:b/>
          <w:color w:val="10B981"/>
          <w:sz w:val="24"/>
        </w:rPr>
        <w:t xml:space="preserve">Part III  </w:t>
      </w:r>
      <w:r>
        <w:rPr>
          <w:b/>
          <w:sz w:val="24"/>
        </w:rPr>
        <w:t>Results</w:t>
      </w:r>
    </w:p>
    <w:p>
      <w:pPr>
        <w:spacing w:before="0" w:after="40" w:line="312" w:lineRule="auto"/>
      </w:pPr>
      <w:r>
        <w:rPr>
          <w:color w:val="475569"/>
          <w:sz w:val="22"/>
        </w:rPr>
        <w:t xml:space="preserve">   10.  The decisive finding</w:t>
      </w:r>
    </w:p>
    <w:p>
      <w:pPr>
        <w:spacing w:before="0" w:after="40" w:line="312" w:lineRule="auto"/>
      </w:pPr>
      <w:r>
        <w:rPr>
          <w:color w:val="475569"/>
          <w:sz w:val="22"/>
        </w:rPr>
        <w:t xml:space="preserve">   11.  Pillar ablation</w:t>
      </w:r>
    </w:p>
    <w:p>
      <w:pPr>
        <w:spacing w:before="0" w:after="40" w:line="312" w:lineRule="auto"/>
      </w:pPr>
      <w:r>
        <w:rPr>
          <w:color w:val="475569"/>
          <w:sz w:val="22"/>
        </w:rPr>
        <w:t xml:space="preserve">   12.  Stress tests</w:t>
      </w:r>
    </w:p>
    <w:p>
      <w:pPr>
        <w:spacing w:before="0" w:after="40" w:line="312" w:lineRule="auto"/>
      </w:pPr>
      <w:r>
        <w:rPr>
          <w:color w:val="475569"/>
          <w:sz w:val="22"/>
        </w:rPr>
        <w:t xml:space="preserve">   13.  60-month long horizon and NRR recovery</w:t>
      </w:r>
    </w:p>
    <w:p>
      <w:pPr>
        <w:spacing w:before="0" w:after="40" w:line="312" w:lineRule="auto"/>
      </w:pPr>
      <w:r>
        <w:rPr>
          <w:color w:val="475569"/>
          <w:sz w:val="22"/>
        </w:rPr>
        <w:t xml:space="preserve">   14.  Customer cohort survival</w:t>
      </w:r>
    </w:p>
    <w:p>
      <w:pPr>
        <w:spacing w:before="0" w:after="40" w:line="312" w:lineRule="auto"/>
      </w:pPr>
      <w:r>
        <w:rPr>
          <w:color w:val="475569"/>
          <w:sz w:val="22"/>
        </w:rPr>
        <w:t xml:space="preserve">   15.  Macro behavior</w:t>
      </w:r>
    </w:p>
    <w:p>
      <w:pPr>
        <w:spacing w:before="0" w:after="40" w:line="312" w:lineRule="auto"/>
      </w:pPr>
      <w:r>
        <w:rPr>
          <w:b/>
          <w:color w:val="10B981"/>
          <w:sz w:val="24"/>
        </w:rPr>
        <w:t xml:space="preserve">Part IV  </w:t>
      </w:r>
      <w:r>
        <w:rPr>
          <w:b/>
          <w:sz w:val="24"/>
        </w:rPr>
        <w:t>Recommendations and what comes next</w:t>
      </w:r>
    </w:p>
    <w:p>
      <w:pPr>
        <w:spacing w:before="0" w:after="40" w:line="312" w:lineRule="auto"/>
      </w:pPr>
      <w:r>
        <w:rPr>
          <w:color w:val="475569"/>
          <w:sz w:val="22"/>
        </w:rPr>
        <w:t xml:space="preserve">   16.  Two configurations for stakeholder use</w:t>
      </w:r>
    </w:p>
    <w:p>
      <w:pPr>
        <w:spacing w:before="0" w:after="40" w:line="312" w:lineRule="auto"/>
      </w:pPr>
      <w:r>
        <w:rPr>
          <w:color w:val="475569"/>
          <w:sz w:val="22"/>
        </w:rPr>
        <w:t xml:space="preserve">   17.  Open issues and next iterations</w:t>
      </w:r>
    </w:p>
    <w:p>
      <w:pPr>
        <w:spacing w:before="0" w:after="40" w:line="312" w:lineRule="auto"/>
      </w:pPr>
      <w:r>
        <w:rPr>
          <w:b/>
          <w:color w:val="10B981"/>
          <w:sz w:val="24"/>
        </w:rPr>
        <w:t xml:space="preserve">Appendix  </w:t>
      </w:r>
      <w:r>
        <w:rPr>
          <w:b/>
          <w:sz w:val="24"/>
        </w:rPr>
      </w:r>
    </w:p>
    <w:p>
      <w:pPr>
        <w:spacing w:before="0" w:after="40" w:line="312" w:lineRule="auto"/>
      </w:pPr>
      <w:r>
        <w:rPr>
          <w:color w:val="475569"/>
          <w:sz w:val="22"/>
        </w:rPr>
        <w:t xml:space="preserve">    A.  Reproducibility and source files</w:t>
      </w:r>
    </w:p>
    <w:p>
      <w:pPr>
        <w:spacing w:before="0" w:after="40" w:line="312" w:lineRule="auto"/>
      </w:pPr>
      <w:r>
        <w:rPr>
          <w:color w:val="475569"/>
          <w:sz w:val="22"/>
        </w:rPr>
        <w:t xml:space="preserve">    B.  Parameter values reference</w:t>
      </w:r>
    </w:p>
    <w:p>
      <w:r>
        <w:br w:type="page"/>
      </w:r>
    </w:p>
    <w:p>
      <w:pPr>
        <w:spacing w:before="80" w:after="240" w:line="264" w:lineRule="auto"/>
        <w:pBdr>
          <w:bottom w:val="single" w:sz="8" w:space="6" w:color="10B981"/>
        </w:pBdr>
      </w:pPr>
      <w:r>
        <w:rPr>
          <w:b/>
          <w:color w:val="10B981"/>
          <w:sz w:val="44"/>
        </w:rPr>
        <w:t>One-page summary</w:t>
      </w:r>
    </w:p>
    <w:p>
      <w:pPr>
        <w:spacing w:before="0" w:after="240" w:line="336" w:lineRule="auto"/>
      </w:pPr>
      <w:r>
        <w:rPr>
          <w:b w:val="0"/>
          <w:i w:val="0"/>
          <w:sz w:val="22"/>
        </w:rPr>
        <w:t>We rebuilt the CrowdTrain token-economy simulator twice in two days. v3 added the memo's peer-validation mechanic to the previous progression-only model. v4 layered three behavioral pillars on top of v3: persona-driven operators, first-class enterprise customers, and a macro economy with sentiment cycles and an AMM. We tested five ablation cells, four stress scenarios, and a 60-month long-horizon sweep, all under Monte Carlo.</w:t>
      </w:r>
    </w:p>
    <w:tbl>
      <w:tblPr>
        <w:tblW w:type="auto" w:w="0"/>
        <w:tblLayout w:type="fixed"/>
        <w:tblLook w:firstColumn="1" w:firstRow="1" w:lastColumn="0" w:lastRow="0" w:noHBand="0" w:noVBand="1" w:val="04A0"/>
      </w:tblPr>
      <w:tblGrid>
        <w:gridCol w:w="3173"/>
        <w:gridCol w:w="3173"/>
        <w:gridCol w:w="3173"/>
      </w:tblGrid>
      <w:tr>
        <w:tc>
          <w:tcPr>
            <w:tcW w:type="dxa" w:w="3173"/>
            <w:shd w:val="clear" w:color="auto" w:fill="F8FAFC"/>
            <w:tcMar>
              <w:top w:w="260" w:type="dxa"/>
              <w:left w:w="180" w:type="dxa"/>
              <w:bottom w:w="260" w:type="dxa"/>
              <w:right w:w="180" w:type="dxa"/>
            </w:tcMar>
            <w:vAlign w:val="center"/>
            <w:tcBorders>
              <w:top w:val="single" w:sz="24" w:color="10B981"/>
            </w:tcBorders>
          </w:tcPr>
          <w:p>
            <w:pPr>
              <w:spacing w:before="0" w:after="80" w:line="240" w:lineRule="auto"/>
              <w:jc w:val="center"/>
            </w:pPr>
            <w:r/>
            <w:r>
              <w:rPr>
                <w:b/>
                <w:color w:val="10B981"/>
                <w:sz w:val="56"/>
              </w:rPr>
              <w:t>$389M</w:t>
            </w:r>
          </w:p>
          <w:p>
            <w:pPr>
              <w:spacing w:before="0" w:after="0" w:line="264" w:lineRule="auto"/>
              <w:jc w:val="center"/>
            </w:pPr>
            <w:r>
              <w:rPr>
                <w:color w:val="475569"/>
                <w:sz w:val="20"/>
              </w:rPr>
              <w:t>60-mo cumulative revenue</w:t>
              <w:br/>
              <w:t>(v4 winner)</w:t>
            </w:r>
          </w:p>
        </w:tc>
        <w:tc>
          <w:tcPr>
            <w:tcW w:type="dxa" w:w="3173"/>
            <w:shd w:val="clear" w:color="auto" w:fill="F8FAFC"/>
            <w:tcMar>
              <w:top w:w="260" w:type="dxa"/>
              <w:left w:w="180" w:type="dxa"/>
              <w:bottom w:w="260" w:type="dxa"/>
              <w:right w:w="180" w:type="dxa"/>
            </w:tcMar>
            <w:vAlign w:val="center"/>
            <w:tcBorders>
              <w:top w:val="single" w:sz="24" w:color="3B82F6"/>
            </w:tcBorders>
          </w:tcPr>
          <w:p>
            <w:pPr>
              <w:spacing w:before="0" w:after="80" w:line="240" w:lineRule="auto"/>
              <w:jc w:val="center"/>
            </w:pPr>
            <w:r/>
            <w:r>
              <w:rPr>
                <w:b/>
                <w:color w:val="3B82F6"/>
                <w:sz w:val="56"/>
              </w:rPr>
              <w:t>0.811</w:t>
            </w:r>
          </w:p>
          <w:p>
            <w:pPr>
              <w:spacing w:before="0" w:after="0" w:line="264" w:lineRule="auto"/>
              <w:jc w:val="center"/>
            </w:pPr>
            <w:r>
              <w:rPr>
                <w:color w:val="475569"/>
                <w:sz w:val="20"/>
              </w:rPr>
              <w:t>Composite score</w:t>
              <w:br/>
              <w:t>(v4 winner @ 60mo)</w:t>
            </w:r>
          </w:p>
        </w:tc>
        <w:tc>
          <w:tcPr>
            <w:tcW w:type="dxa" w:w="3173"/>
            <w:shd w:val="clear" w:color="auto" w:fill="F8FAFC"/>
            <w:tcMar>
              <w:top w:w="260" w:type="dxa"/>
              <w:left w:w="180" w:type="dxa"/>
              <w:bottom w:w="260" w:type="dxa"/>
              <w:right w:w="180" w:type="dxa"/>
            </w:tcMar>
            <w:vAlign w:val="center"/>
            <w:tcBorders>
              <w:top w:val="single" w:sz="24" w:color="F59E0B"/>
            </w:tcBorders>
          </w:tcPr>
          <w:p>
            <w:pPr>
              <w:spacing w:before="0" w:after="80" w:line="240" w:lineRule="auto"/>
              <w:jc w:val="center"/>
            </w:pPr>
            <w:r/>
            <w:r>
              <w:rPr>
                <w:b/>
                <w:color w:val="F59E0B"/>
                <w:sz w:val="56"/>
              </w:rPr>
              <w:t>0.56</w:t>
            </w:r>
          </w:p>
          <w:p>
            <w:pPr>
              <w:spacing w:before="0" w:after="0" w:line="264" w:lineRule="auto"/>
              <w:jc w:val="center"/>
            </w:pPr>
            <w:r>
              <w:rPr>
                <w:color w:val="475569"/>
                <w:sz w:val="20"/>
              </w:rPr>
              <w:t>Net revenue retention</w:t>
              <w:br/>
              <w:t>(blended, 60mo)</w:t>
            </w:r>
          </w:p>
        </w:tc>
      </w:tr>
    </w:tbl>
    <w:p/>
    <w:tbl>
      <w:tblPr>
        <w:tblW w:type="auto" w:w="0"/>
        <w:tblLayout w:type="fixed"/>
        <w:tblLook w:firstColumn="1" w:firstRow="1" w:lastColumn="0" w:lastRow="0" w:noHBand="0" w:noVBand="1" w:val="04A0"/>
      </w:tblPr>
      <w:tblGrid>
        <w:gridCol w:w="9518"/>
      </w:tblGrid>
      <w:tr>
        <w:tc>
          <w:tcPr>
            <w:tcW w:type="dxa" w:w="9518"/>
            <w:shd w:val="clear" w:color="auto" w:fill="F8FAFC"/>
            <w:tcMar>
              <w:top w:w="200" w:type="dxa"/>
              <w:left w:w="240" w:type="dxa"/>
              <w:bottom w:w="200" w:type="dxa"/>
              <w:right w:w="240" w:type="dxa"/>
            </w:tcMar>
            <w:tcBorders>
              <w:left w:val="single" w:sz="32" w:color="10B981"/>
            </w:tcBorders>
          </w:tcPr>
          <w:p>
            <w:pPr>
              <w:spacing w:before="0" w:after="80" w:line="288" w:lineRule="auto"/>
            </w:pPr>
            <w:r/>
            <w:r>
              <w:rPr>
                <w:b/>
                <w:color w:val="10B981"/>
                <w:sz w:val="22"/>
              </w:rPr>
              <w:t>What this means in one sentence</w:t>
            </w:r>
          </w:p>
          <w:p>
            <w:pPr>
              <w:spacing w:before="0" w:after="0" w:line="324" w:lineRule="auto"/>
            </w:pPr>
            <w:r>
              <w:rPr>
                <w:color w:val="0F172A"/>
                <w:sz w:val="20"/>
              </w:rPr>
              <w:t>v4 with customers + macro pillars (and personas reverted to v3 mechanics) produces a structurally superior token economy: 5x the revenue of the v3 reference at 60 months, with equivalent T4+ operator counts, plus four new investor-defensible metrics (concentration, NRR, segment mix, sentiment resilience).</w:t>
            </w:r>
          </w:p>
        </w:tc>
      </w:tr>
    </w:tbl>
    <w:p/>
    <w:p>
      <w:pPr>
        <w:spacing w:before="240" w:after="80" w:line="276" w:lineRule="auto"/>
      </w:pPr>
      <w:r>
        <w:rPr>
          <w:b/>
          <w:color w:val="0F172A"/>
          <w:sz w:val="24"/>
        </w:rPr>
        <w:t>How to read this document</w:t>
      </w:r>
    </w:p>
    <w:p>
      <w:pPr>
        <w:pStyle w:val="ListBullet"/>
        <w:spacing w:before="0" w:after="60" w:line="312" w:lineRule="auto"/>
      </w:pPr>
      <w:r>
        <w:rPr>
          <w:b/>
        </w:rPr>
        <w:t>If you are new to the project.</w:t>
      </w:r>
      <w:r>
        <w:t xml:space="preserve"> Read Part I if you want the context: what CrowdTrain is, why we simulate, and how the methodology evolved.</w:t>
      </w:r>
    </w:p>
    <w:p>
      <w:pPr>
        <w:pStyle w:val="ListBullet"/>
        <w:spacing w:before="0" w:after="60" w:line="312" w:lineRule="auto"/>
      </w:pPr>
      <w:r>
        <w:rPr>
          <w:b/>
        </w:rPr>
        <w:t>If you want the methodology.</w:t>
      </w:r>
      <w:r>
        <w:t xml:space="preserve"> Skim Part II for the pillar specifications and assumptions; skip to Part III if you want the numbers.</w:t>
      </w:r>
    </w:p>
    <w:p>
      <w:pPr>
        <w:pStyle w:val="ListBullet"/>
        <w:spacing w:before="0" w:after="60" w:line="312" w:lineRule="auto"/>
      </w:pPr>
      <w:r>
        <w:rPr>
          <w:b/>
        </w:rPr>
        <w:t>If you want results.</w:t>
      </w:r>
      <w:r>
        <w:t xml:space="preserve"> Read Part III for the headline finding, ablation, stress tests, and 60-month horizon.</w:t>
      </w:r>
    </w:p>
    <w:p>
      <w:pPr>
        <w:pStyle w:val="ListBullet"/>
        <w:spacing w:before="0" w:after="60" w:line="312" w:lineRule="auto"/>
      </w:pPr>
      <w:r>
        <w:rPr>
          <w:b/>
        </w:rPr>
        <w:t>If you want what to do next.</w:t>
      </w:r>
      <w:r>
        <w:t xml:space="preserve"> Part IV is the recommendation. Appendix has reproducibility commands.</w:t>
      </w:r>
    </w:p>
    <w:p>
      <w:r>
        <w:br w:type="page"/>
      </w:r>
    </w:p>
    <w:p>
      <w:pPr>
        <w:spacing w:before="80" w:after="240" w:line="264" w:lineRule="auto"/>
        <w:pBdr>
          <w:bottom w:val="single" w:sz="8" w:space="6" w:color="0F172A"/>
        </w:pBdr>
      </w:pPr>
      <w:r>
        <w:rPr>
          <w:b/>
          <w:color w:val="0F172A"/>
          <w:sz w:val="44"/>
        </w:rPr>
        <w:t>Part I  -  Background and motivation</w:t>
      </w:r>
    </w:p>
    <w:p>
      <w:pPr>
        <w:spacing w:before="360" w:after="120" w:line="264" w:lineRule="auto"/>
        <w:pBdr>
          <w:left w:val="single" w:sz="24" w:space="10" w:color="0F172A"/>
        </w:pBdr>
      </w:pPr>
      <w:r>
        <w:rPr>
          <w:b/>
          <w:color w:val="0F172A"/>
          <w:sz w:val="30"/>
        </w:rPr>
        <w:t xml:space="preserve">  1. What is CrowdTrain</w:t>
      </w:r>
    </w:p>
    <w:p>
      <w:pPr>
        <w:spacing w:before="0" w:after="200" w:line="348" w:lineRule="auto"/>
      </w:pPr>
      <w:r>
        <w:rPr>
          <w:b w:val="0"/>
          <w:i w:val="0"/>
          <w:sz w:val="22"/>
        </w:rPr>
        <w:t>CrowdTrain is a decentralized physical infrastructure network (DePIN) that trains AI models. The protocol coordinates a global network of independent operators who run training tasks on hardware they own, validate each other's outputs through a peer-review consensus mechanism, and earn protocol tokens in exchange for the work. Enterprise customers in manufacturing, warehousing, healthcare, and robotics OEM segments pay in fiat for the resulting model training capacity; that fiat flows back to the protocol's treasury and operator pool.</w:t>
      </w:r>
    </w:p>
    <w:p>
      <w:pPr>
        <w:spacing w:before="0" w:after="200" w:line="348" w:lineRule="auto"/>
      </w:pPr>
      <w:r>
        <w:rPr>
          <w:b w:val="0"/>
          <w:i w:val="0"/>
          <w:sz w:val="22"/>
        </w:rPr>
        <w:t>The network is structured as seven tiers (T0 through T6). New operators start at T0 with consumer hardware and basic training tasks. They advance by accumulating reputation, posting hardware-secured stakes, and passing peer-validation thresholds. By T4 they take on validation duties; T5 and T6 operate datacenter-class hardware and arbitrate disputes between lower tiers. Higher tiers earn more per unit of work but require larger stakes that get slashed for adversarial behavior.</w:t>
      </w:r>
    </w:p>
    <w:p>
      <w:pPr>
        <w:spacing w:before="0" w:after="80" w:line="348" w:lineRule="auto"/>
      </w:pPr>
      <w:r>
        <w:rPr>
          <w:b w:val="0"/>
          <w:i w:val="0"/>
          <w:sz w:val="22"/>
        </w:rPr>
        <w:t>The token (CRDT) is the protocol's incentive instrument. It is paid out as rewards for completed work, staked as a security bond at each tier, and burned through a treasury sink that is funded by customer fiat. A constant-product AMM ($1M USD plus 1M tokens at TGE) lets operators convert earned tokens to dollars and creates the pricing surface that the rest of the system reacts to.</w:t>
      </w:r>
    </w:p>
    <w:p>
      <w:pPr>
        <w:spacing w:before="360" w:after="120" w:line="264" w:lineRule="auto"/>
        <w:pBdr>
          <w:left w:val="single" w:sz="24" w:space="10" w:color="0F172A"/>
        </w:pBdr>
      </w:pPr>
      <w:r>
        <w:rPr>
          <w:b/>
          <w:color w:val="0F172A"/>
          <w:sz w:val="30"/>
        </w:rPr>
        <w:t xml:space="preserve">  2. Why simulate the token economy</w:t>
      </w:r>
    </w:p>
    <w:p>
      <w:pPr>
        <w:spacing w:before="0" w:after="160" w:line="348" w:lineRule="auto"/>
      </w:pPr>
      <w:r>
        <w:rPr>
          <w:b w:val="0"/>
          <w:i w:val="0"/>
          <w:sz w:val="22"/>
        </w:rPr>
        <w:t>Token-economy design has a well-known failure mode: the system looks perfectly balanced in a spreadsheet and collapses on contact with reality. Spreadsheets cannot model heterogeneous behavior, feedback loops between operators and customers, or the timing of adverse events. Simulating instead of solving analytically lets us answer questions that closed-form tokenomics math cannot:</w:t>
      </w:r>
    </w:p>
    <w:p>
      <w:pPr>
        <w:pStyle w:val="ListBullet"/>
        <w:spacing w:before="0" w:after="60" w:line="312" w:lineRule="auto"/>
      </w:pPr>
      <w:r>
        <w:t>What happens to the system when 60% of operators are casual hobbyists rather than yield-maximizers?</w:t>
      </w:r>
    </w:p>
    <w:p>
      <w:pPr>
        <w:pStyle w:val="ListBullet"/>
        <w:spacing w:before="0" w:after="60" w:line="312" w:lineRule="auto"/>
      </w:pPr>
      <w:r>
        <w:t>How does the system behave when its largest enterprise customer churns at month 18?</w:t>
      </w:r>
    </w:p>
    <w:p>
      <w:pPr>
        <w:pStyle w:val="ListBullet"/>
        <w:spacing w:before="0" w:after="60" w:line="312" w:lineRule="auto"/>
      </w:pPr>
      <w:r>
        <w:t>What is the sensitivity of cumulative revenue to AMM depth, hardware stake size, or sentiment regime?</w:t>
      </w:r>
    </w:p>
    <w:p>
      <w:pPr>
        <w:pStyle w:val="ListBullet"/>
        <w:spacing w:before="0" w:after="60" w:line="312" w:lineRule="auto"/>
      </w:pPr>
      <w:r>
        <w:t>Does the protocol survive a coordinated event stack (competitor launch, regulatory shock, recession)?</w:t>
      </w:r>
    </w:p>
    <w:p>
      <w:pPr>
        <w:spacing w:before="0" w:after="80" w:line="348" w:lineRule="auto"/>
      </w:pPr>
      <w:r>
        <w:rPr>
          <w:b w:val="0"/>
          <w:i w:val="0"/>
          <w:sz w:val="22"/>
        </w:rPr>
        <w:t>Each of these questions has billions of valid spreadsheet answers. The simulation forces us to commit to specific behavioral assumptions, then tells us which assumptions actually matter. The Monte Carlo wrapper reports the variance, so we can distinguish 'this number is precise' from 'this number is sensitive to luck'.</w:t>
      </w:r>
    </w:p>
    <w:p>
      <w:pPr>
        <w:spacing w:before="360" w:after="120" w:line="264" w:lineRule="auto"/>
        <w:pBdr>
          <w:left w:val="single" w:sz="24" w:space="10" w:color="0F172A"/>
        </w:pBdr>
      </w:pPr>
      <w:r>
        <w:rPr>
          <w:b/>
          <w:color w:val="0F172A"/>
          <w:sz w:val="30"/>
        </w:rPr>
        <w:t xml:space="preserve">  3. How this simulation evolved (v1 to v4)</w:t>
      </w:r>
    </w:p>
    <w:p>
      <w:pPr>
        <w:spacing w:before="0" w:after="160" w:line="348" w:lineRule="auto"/>
      </w:pPr>
      <w:r>
        <w:rPr>
          <w:b w:val="0"/>
          <w:i w:val="0"/>
          <w:sz w:val="22"/>
        </w:rPr>
        <w:t>Three major iterations got us to the v4 results in this document. Each version was a deliberate response to a problem the previous version could not answer.</w:t>
      </w:r>
    </w:p>
    <w:p>
      <w:pPr>
        <w:spacing w:before="240" w:after="80" w:line="276" w:lineRule="auto"/>
      </w:pPr>
      <w:r>
        <w:rPr>
          <w:b/>
          <w:color w:val="0F172A"/>
          <w:sz w:val="24"/>
        </w:rPr>
        <w:t>v2 - The progression funnel (early April 2026)</w:t>
      </w:r>
    </w:p>
    <w:p>
      <w:pPr>
        <w:spacing w:before="0" w:after="160" w:line="348" w:lineRule="auto"/>
      </w:pPr>
      <w:r>
        <w:rPr>
          <w:b w:val="0"/>
          <w:i w:val="0"/>
          <w:sz w:val="22"/>
        </w:rPr>
        <w:t>v2 modeled the seven tiers as a stochastic progression funnel with per-operator quality scores. It established the basic rhythm of the simulation (monthly steps, treasury accounting, token emission, vesting) but treated validation as a black box and customers as an aggregate demand curve. We could answer 'how many operators reach T4?' but not 'what happens when the validators collude?' or 'who are the customers actually paying?'.</w:t>
      </w:r>
    </w:p>
    <w:p>
      <w:pPr>
        <w:spacing w:before="240" w:after="80" w:line="276" w:lineRule="auto"/>
      </w:pPr>
      <w:r>
        <w:rPr>
          <w:b/>
          <w:color w:val="0F172A"/>
          <w:sz w:val="24"/>
        </w:rPr>
        <w:t>v3 - Peer validation as a first-class mechanic (2026-04-25)</w:t>
      </w:r>
    </w:p>
    <w:p>
      <w:pPr>
        <w:spacing w:before="0" w:after="80" w:line="348" w:lineRule="auto"/>
      </w:pPr>
      <w:r>
        <w:rPr>
          <w:b w:val="0"/>
          <w:i w:val="0"/>
          <w:sz w:val="22"/>
        </w:rPr>
        <w:t>v3 was a near-rewrite around the v12 memo's peer-review mechanic. Tasks became first-class entities with witnesses, consensus, and graduated slashing. Validators got their own economics (base fee plus audit bonuses) and a reputation that decays under disagreement. The v3 winner configuration emerged from a 12-cell parameter sweep: hardware stake $150 at T4, base emission 45 tokens per active operator per month, monthly supply emission 3M tokens. v3 found that the system is demand-bound, not supply-bound: doubling demand had a much bigger composite-score impact than relaxing the node-capacity ceiling.</w:t>
      </w:r>
    </w:p>
    <w:p>
      <w:pPr>
        <w:spacing w:before="240" w:after="80" w:line="276" w:lineRule="auto"/>
      </w:pPr>
      <w:r>
        <w:rPr>
          <w:b/>
          <w:color w:val="0F172A"/>
          <w:sz w:val="24"/>
        </w:rPr>
        <w:t>v4 - The three behavioral pillars (2026-04-26)</w:t>
      </w:r>
    </w:p>
    <w:p>
      <w:pPr>
        <w:spacing w:before="0" w:after="80" w:line="348" w:lineRule="auto"/>
      </w:pPr>
      <w:r>
        <w:rPr>
          <w:b w:val="0"/>
          <w:i w:val="0"/>
          <w:sz w:val="22"/>
        </w:rPr>
        <w:t>v4 took the v3 winner as its starting point and asked: 'what happens when the agents are realistic?'. We added three pillars - operator personas, first-class enterprise customers, and a macro economy with sentiment and an AMM - and made each one independently ablatable so we could measure marginal contribution.</w:t>
      </w:r>
    </w:p>
    <w:p>
      <w:pPr>
        <w:spacing w:before="160" w:after="80" w:line="300" w:lineRule="auto"/>
        <w:jc w:val="center"/>
      </w:pPr>
      <w:r>
        <w:drawing>
          <wp:inline xmlns:a="http://schemas.openxmlformats.org/drawingml/2006/main" xmlns:pic="http://schemas.openxmlformats.org/drawingml/2006/picture">
            <wp:extent cx="6035040" cy="2884594"/>
            <wp:docPr id="1" name="Picture 1"/>
            <wp:cNvGraphicFramePr>
              <a:graphicFrameLocks noChangeAspect="1"/>
            </wp:cNvGraphicFramePr>
            <a:graphic>
              <a:graphicData uri="http://schemas.openxmlformats.org/drawingml/2006/picture">
                <pic:pic>
                  <pic:nvPicPr>
                    <pic:cNvPr id="0" name="chart_2_evolution.png"/>
                    <pic:cNvPicPr/>
                  </pic:nvPicPr>
                  <pic:blipFill>
                    <a:blip r:embed="rId9"/>
                    <a:stretch>
                      <a:fillRect/>
                    </a:stretch>
                  </pic:blipFill>
                  <pic:spPr>
                    <a:xfrm>
                      <a:off x="0" y="0"/>
                      <a:ext cx="6035040" cy="2884594"/>
                    </a:xfrm>
                    <a:prstGeom prst="rect"/>
                  </pic:spPr>
                </pic:pic>
              </a:graphicData>
            </a:graphic>
          </wp:inline>
        </w:drawing>
      </w:r>
    </w:p>
    <w:p>
      <w:pPr>
        <w:spacing w:before="0" w:after="240" w:line="288" w:lineRule="auto"/>
        <w:jc w:val="center"/>
      </w:pPr>
      <w:r>
        <w:rPr>
          <w:i/>
          <w:color w:val="475569"/>
          <w:sz w:val="18"/>
        </w:rPr>
        <w:t>Figure: Methodology evolution from v3 to v4. v2 is shown as 'n/a' because its scoring rubric was not commensurable with v3 and v4.</w:t>
      </w:r>
    </w:p>
    <w:p>
      <w:r>
        <w:br w:type="page"/>
      </w:r>
    </w:p>
    <w:p>
      <w:pPr>
        <w:spacing w:before="80" w:after="240" w:line="264" w:lineRule="auto"/>
        <w:pBdr>
          <w:bottom w:val="single" w:sz="8" w:space="6" w:color="0F172A"/>
        </w:pBdr>
      </w:pPr>
      <w:r>
        <w:rPr>
          <w:b/>
          <w:color w:val="0F172A"/>
          <w:sz w:val="44"/>
        </w:rPr>
        <w:t>Part II  -  What we built</w:t>
      </w:r>
    </w:p>
    <w:p>
      <w:pPr>
        <w:spacing w:before="360" w:after="120" w:line="264" w:lineRule="auto"/>
        <w:pBdr>
          <w:left w:val="single" w:sz="24" w:space="10" w:color="0F172A"/>
        </w:pBdr>
      </w:pPr>
      <w:r>
        <w:rPr>
          <w:b/>
          <w:color w:val="0F172A"/>
          <w:sz w:val="30"/>
        </w:rPr>
        <w:t xml:space="preserve">  4. Engine architecture and the three pillars</w:t>
      </w:r>
    </w:p>
    <w:p>
      <w:pPr>
        <w:spacing w:before="0" w:after="160" w:line="348" w:lineRule="auto"/>
      </w:pPr>
      <w:r>
        <w:rPr>
          <w:b w:val="0"/>
          <w:i w:val="0"/>
          <w:sz w:val="22"/>
        </w:rPr>
        <w:t>The v4 simulator is a 20-step monthly pipeline. Each month, it advances the operator population, processes tasks through validation, settles customer-driven revenue, runs treasury and emission accounting, executes a macro update (sentiment, AMM, scheduled events), and finally records 53 metrics in the time series. The engine is deterministic given a seed, which is what makes Monte Carlo coverage possible.</w:t>
      </w:r>
    </w:p>
    <w:p>
      <w:pPr>
        <w:spacing w:before="0" w:after="160" w:line="348" w:lineRule="auto"/>
      </w:pPr>
      <w:r>
        <w:rPr>
          <w:b w:val="0"/>
          <w:i w:val="0"/>
          <w:sz w:val="22"/>
        </w:rPr>
        <w:t>The three pillars are the v4 additions on top of the v3 engine. Each pillar is a self-contained module that can be turned off by removing its parameter section from the simulation config. When a pillar is off, the engine falls back to the corresponding v3 mechanic. This is how we run ablation cells: turn off one pillar at a time, hold everything else constant, and read the score delta.</w:t>
      </w:r>
    </w:p>
    <w:tbl>
      <w:tblPr>
        <w:tblW w:type="auto" w:w="0"/>
        <w:tblLayout w:type="fixed"/>
        <w:tblLook w:firstColumn="1" w:firstRow="1" w:lastColumn="0" w:lastRow="0" w:noHBand="0" w:noVBand="1" w:val="04A0"/>
      </w:tblPr>
      <w:tblGrid>
        <w:gridCol w:w="2379"/>
        <w:gridCol w:w="2379"/>
        <w:gridCol w:w="2379"/>
        <w:gridCol w:w="2379"/>
      </w:tblGrid>
      <w:tr>
        <w:tc>
          <w:tcPr>
            <w:tcW w:type="dxa" w:w="1872"/>
            <w:shd w:val="clear" w:color="auto" w:fill="0F172A"/>
            <w:tcMar>
              <w:top w:w="120" w:type="dxa"/>
              <w:left w:w="160" w:type="dxa"/>
              <w:bottom w:w="120" w:type="dxa"/>
              <w:right w:w="160" w:type="dxa"/>
            </w:tcMar>
            <w:vAlign w:val="center"/>
          </w:tcPr>
          <w:p>
            <w:pPr>
              <w:spacing w:before="0" w:after="0" w:line="264" w:lineRule="auto"/>
            </w:pPr>
            <w:r/>
            <w:r>
              <w:rPr>
                <w:b/>
                <w:color w:val="FFFFFF"/>
                <w:sz w:val="20"/>
              </w:rPr>
              <w:t>Pillar</w:t>
            </w:r>
          </w:p>
        </w:tc>
        <w:tc>
          <w:tcPr>
            <w:tcW w:type="dxa" w:w="2016"/>
            <w:shd w:val="clear" w:color="auto" w:fill="0F172A"/>
            <w:tcMar>
              <w:top w:w="120" w:type="dxa"/>
              <w:left w:w="160" w:type="dxa"/>
              <w:bottom w:w="120" w:type="dxa"/>
              <w:right w:w="160" w:type="dxa"/>
            </w:tcMar>
            <w:vAlign w:val="center"/>
          </w:tcPr>
          <w:p>
            <w:pPr>
              <w:spacing w:before="0" w:after="0" w:line="264" w:lineRule="auto"/>
            </w:pPr>
            <w:r/>
            <w:r>
              <w:rPr>
                <w:b/>
                <w:color w:val="FFFFFF"/>
                <w:sz w:val="20"/>
              </w:rPr>
              <w:t>Module</w:t>
            </w:r>
          </w:p>
        </w:tc>
        <w:tc>
          <w:tcPr>
            <w:tcW w:type="dxa" w:w="2448"/>
            <w:shd w:val="clear" w:color="auto" w:fill="0F172A"/>
            <w:tcMar>
              <w:top w:w="120" w:type="dxa"/>
              <w:left w:w="160" w:type="dxa"/>
              <w:bottom w:w="120" w:type="dxa"/>
              <w:right w:w="160" w:type="dxa"/>
            </w:tcMar>
            <w:vAlign w:val="center"/>
          </w:tcPr>
          <w:p>
            <w:pPr>
              <w:spacing w:before="0" w:after="0" w:line="264" w:lineRule="auto"/>
            </w:pPr>
            <w:r/>
            <w:r>
              <w:rPr>
                <w:b/>
                <w:color w:val="FFFFFF"/>
                <w:sz w:val="20"/>
              </w:rPr>
              <w:t>Replaces in v3</w:t>
            </w:r>
          </w:p>
        </w:tc>
        <w:tc>
          <w:tcPr>
            <w:tcW w:type="dxa" w:w="3600"/>
            <w:shd w:val="clear" w:color="auto" w:fill="0F172A"/>
            <w:tcMar>
              <w:top w:w="120" w:type="dxa"/>
              <w:left w:w="160" w:type="dxa"/>
              <w:bottom w:w="120" w:type="dxa"/>
              <w:right w:w="160" w:type="dxa"/>
            </w:tcMar>
            <w:vAlign w:val="center"/>
          </w:tcPr>
          <w:p>
            <w:pPr>
              <w:spacing w:before="0" w:after="0" w:line="264" w:lineRule="auto"/>
            </w:pPr>
            <w:r/>
            <w:r>
              <w:rPr>
                <w:b/>
                <w:color w:val="FFFFFF"/>
                <w:sz w:val="20"/>
              </w:rPr>
              <w:t>Adds</w:t>
            </w:r>
          </w:p>
        </w:tc>
      </w:tr>
      <w:tr>
        <w:tc>
          <w:tcPr>
            <w:tcW w:type="dxa" w:w="1872"/>
            <w:tcMar>
              <w:top w:w="110" w:type="dxa"/>
              <w:left w:w="160" w:type="dxa"/>
              <w:bottom w:w="110" w:type="dxa"/>
              <w:right w:w="160" w:type="dxa"/>
            </w:tcMar>
            <w:vAlign w:val="center"/>
          </w:tcPr>
          <w:p>
            <w:pPr>
              <w:spacing w:before="0" w:after="0" w:line="288" w:lineRule="auto"/>
            </w:pPr>
            <w:r/>
            <w:r>
              <w:rPr>
                <w:b/>
                <w:sz w:val="20"/>
              </w:rPr>
              <w:t>1. Operators</w:t>
            </w:r>
          </w:p>
        </w:tc>
        <w:tc>
          <w:tcPr>
            <w:tcW w:type="dxa" w:w="2016"/>
            <w:tcMar>
              <w:top w:w="110" w:type="dxa"/>
              <w:left w:w="160" w:type="dxa"/>
              <w:bottom w:w="110" w:type="dxa"/>
              <w:right w:w="160" w:type="dxa"/>
            </w:tcMar>
            <w:vAlign w:val="center"/>
          </w:tcPr>
          <w:p>
            <w:pPr>
              <w:spacing w:before="0" w:after="0" w:line="288" w:lineRule="auto"/>
            </w:pPr>
            <w:r/>
            <w:r>
              <w:rPr>
                <w:sz w:val="20"/>
              </w:rPr>
              <w:t>operators_v4.py</w:t>
            </w:r>
          </w:p>
        </w:tc>
        <w:tc>
          <w:tcPr>
            <w:tcW w:type="dxa" w:w="2448"/>
            <w:tcMar>
              <w:top w:w="110" w:type="dxa"/>
              <w:left w:w="160" w:type="dxa"/>
              <w:bottom w:w="110" w:type="dxa"/>
              <w:right w:w="160" w:type="dxa"/>
            </w:tcMar>
            <w:vAlign w:val="center"/>
          </w:tcPr>
          <w:p>
            <w:pPr>
              <w:spacing w:before="0" w:after="0" w:line="288" w:lineRule="auto"/>
            </w:pPr>
            <w:r/>
            <w:r>
              <w:rPr>
                <w:sz w:val="20"/>
              </w:rPr>
              <w:t>Uniform stochastic ops</w:t>
            </w:r>
          </w:p>
        </w:tc>
        <w:tc>
          <w:tcPr>
            <w:tcW w:type="dxa" w:w="3600"/>
            <w:tcMar>
              <w:top w:w="110" w:type="dxa"/>
              <w:left w:w="160" w:type="dxa"/>
              <w:bottom w:w="110" w:type="dxa"/>
              <w:right w:w="160" w:type="dxa"/>
            </w:tcMar>
            <w:vAlign w:val="center"/>
          </w:tcPr>
          <w:p>
            <w:pPr>
              <w:spacing w:before="0" w:after="0" w:line="288" w:lineRule="auto"/>
            </w:pPr>
            <w:r/>
            <w:r>
              <w:rPr>
                <w:sz w:val="20"/>
              </w:rPr>
              <w:t>Personas, learning curves, decisions, referrals</w:t>
            </w:r>
          </w:p>
        </w:tc>
      </w:tr>
      <w:tr>
        <w:tc>
          <w:tcPr>
            <w:tcW w:type="dxa" w:w="1872"/>
            <w:tcMar>
              <w:top w:w="110" w:type="dxa"/>
              <w:left w:w="160" w:type="dxa"/>
              <w:bottom w:w="110" w:type="dxa"/>
              <w:right w:w="160" w:type="dxa"/>
            </w:tcMar>
            <w:shd w:val="clear" w:color="auto" w:fill="F1F5F9"/>
            <w:vAlign w:val="center"/>
          </w:tcPr>
          <w:p>
            <w:pPr>
              <w:spacing w:before="0" w:after="0" w:line="288" w:lineRule="auto"/>
            </w:pPr>
            <w:r/>
            <w:r>
              <w:rPr>
                <w:b/>
                <w:sz w:val="20"/>
              </w:rPr>
              <w:t>2. Customers</w:t>
            </w:r>
          </w:p>
        </w:tc>
        <w:tc>
          <w:tcPr>
            <w:tcW w:type="dxa" w:w="2016"/>
            <w:tcMar>
              <w:top w:w="110" w:type="dxa"/>
              <w:left w:w="160" w:type="dxa"/>
              <w:bottom w:w="110" w:type="dxa"/>
              <w:right w:w="160" w:type="dxa"/>
            </w:tcMar>
            <w:shd w:val="clear" w:color="auto" w:fill="F1F5F9"/>
            <w:vAlign w:val="center"/>
          </w:tcPr>
          <w:p>
            <w:pPr>
              <w:spacing w:before="0" w:after="0" w:line="288" w:lineRule="auto"/>
            </w:pPr>
            <w:r/>
            <w:r>
              <w:rPr>
                <w:sz w:val="20"/>
              </w:rPr>
              <w:t>customers.py</w:t>
            </w:r>
          </w:p>
        </w:tc>
        <w:tc>
          <w:tcPr>
            <w:tcW w:type="dxa" w:w="2448"/>
            <w:tcMar>
              <w:top w:w="110" w:type="dxa"/>
              <w:left w:w="160" w:type="dxa"/>
              <w:bottom w:w="110" w:type="dxa"/>
              <w:right w:w="160" w:type="dxa"/>
            </w:tcMar>
            <w:shd w:val="clear" w:color="auto" w:fill="F1F5F9"/>
            <w:vAlign w:val="center"/>
          </w:tcPr>
          <w:p>
            <w:pPr>
              <w:spacing w:before="0" w:after="0" w:line="288" w:lineRule="auto"/>
            </w:pPr>
            <w:r/>
            <w:r>
              <w:rPr>
                <w:sz w:val="20"/>
              </w:rPr>
              <w:t>Aggregate demand curve</w:t>
            </w:r>
          </w:p>
        </w:tc>
        <w:tc>
          <w:tcPr>
            <w:tcW w:type="dxa" w:w="3600"/>
            <w:tcMar>
              <w:top w:w="110" w:type="dxa"/>
              <w:left w:w="160" w:type="dxa"/>
              <w:bottom w:w="110" w:type="dxa"/>
              <w:right w:w="160" w:type="dxa"/>
            </w:tcMar>
            <w:shd w:val="clear" w:color="auto" w:fill="F1F5F9"/>
            <w:vAlign w:val="center"/>
          </w:tcPr>
          <w:p>
            <w:pPr>
              <w:spacing w:before="0" w:after="0" w:line="288" w:lineRule="auto"/>
            </w:pPr>
            <w:r/>
            <w:r>
              <w:rPr>
                <w:sz w:val="20"/>
              </w:rPr>
              <w:t>First-class customer agents, segments, churn/expansion</w:t>
            </w:r>
          </w:p>
        </w:tc>
      </w:tr>
      <w:tr>
        <w:tc>
          <w:tcPr>
            <w:tcW w:type="dxa" w:w="1872"/>
            <w:tcMar>
              <w:top w:w="110" w:type="dxa"/>
              <w:left w:w="160" w:type="dxa"/>
              <w:bottom w:w="110" w:type="dxa"/>
              <w:right w:w="160" w:type="dxa"/>
            </w:tcMar>
            <w:vAlign w:val="center"/>
          </w:tcPr>
          <w:p>
            <w:pPr>
              <w:spacing w:before="0" w:after="0" w:line="288" w:lineRule="auto"/>
            </w:pPr>
            <w:r/>
            <w:r>
              <w:rPr>
                <w:b/>
                <w:sz w:val="20"/>
              </w:rPr>
              <w:t>3. Macro</w:t>
            </w:r>
          </w:p>
        </w:tc>
        <w:tc>
          <w:tcPr>
            <w:tcW w:type="dxa" w:w="2016"/>
            <w:tcMar>
              <w:top w:w="110" w:type="dxa"/>
              <w:left w:w="160" w:type="dxa"/>
              <w:bottom w:w="110" w:type="dxa"/>
              <w:right w:w="160" w:type="dxa"/>
            </w:tcMar>
            <w:vAlign w:val="center"/>
          </w:tcPr>
          <w:p>
            <w:pPr>
              <w:spacing w:before="0" w:after="0" w:line="288" w:lineRule="auto"/>
            </w:pPr>
            <w:r/>
            <w:r>
              <w:rPr>
                <w:sz w:val="20"/>
              </w:rPr>
              <w:t>macro.py</w:t>
            </w:r>
          </w:p>
        </w:tc>
        <w:tc>
          <w:tcPr>
            <w:tcW w:type="dxa" w:w="2448"/>
            <w:tcMar>
              <w:top w:w="110" w:type="dxa"/>
              <w:left w:w="160" w:type="dxa"/>
              <w:bottom w:w="110" w:type="dxa"/>
              <w:right w:w="160" w:type="dxa"/>
            </w:tcMar>
            <w:vAlign w:val="center"/>
          </w:tcPr>
          <w:p>
            <w:pPr>
              <w:spacing w:before="0" w:after="0" w:line="288" w:lineRule="auto"/>
            </w:pPr>
            <w:r/>
            <w:r>
              <w:rPr>
                <w:sz w:val="20"/>
              </w:rPr>
              <w:t>Static price, no events</w:t>
            </w:r>
          </w:p>
        </w:tc>
        <w:tc>
          <w:tcPr>
            <w:tcW w:type="dxa" w:w="3600"/>
            <w:tcMar>
              <w:top w:w="110" w:type="dxa"/>
              <w:left w:w="160" w:type="dxa"/>
              <w:bottom w:w="110" w:type="dxa"/>
              <w:right w:w="160" w:type="dxa"/>
            </w:tcMar>
            <w:vAlign w:val="center"/>
          </w:tcPr>
          <w:p>
            <w:pPr>
              <w:spacing w:before="0" w:after="0" w:line="288" w:lineRule="auto"/>
            </w:pPr>
            <w:r/>
            <w:r>
              <w:rPr>
                <w:sz w:val="20"/>
              </w:rPr>
              <w:t>Sentiment HMM, AMM, scheduled events, era detection</w:t>
            </w:r>
          </w:p>
        </w:tc>
      </w:tr>
    </w:tbl>
    <w:p/>
    <w:p>
      <w:pPr>
        <w:spacing w:before="360" w:after="120" w:line="264" w:lineRule="auto"/>
        <w:pBdr>
          <w:left w:val="single" w:sz="24" w:space="10" w:color="0F172A"/>
        </w:pBdr>
      </w:pPr>
      <w:r>
        <w:rPr>
          <w:b/>
          <w:color w:val="0F172A"/>
          <w:sz w:val="30"/>
        </w:rPr>
        <w:t xml:space="preserve">  5. Pillar 1  -  Operators</w:t>
      </w:r>
    </w:p>
    <w:p>
      <w:pPr>
        <w:spacing w:before="0" w:after="160" w:line="348" w:lineRule="auto"/>
      </w:pPr>
      <w:r>
        <w:rPr>
          <w:b w:val="0"/>
          <w:i w:val="0"/>
          <w:sz w:val="22"/>
        </w:rPr>
        <w:t>v3 modeled operators as identical stochastic agents. v4 replaces this with four behavioral personas drawn from the DePIN literature and our own DeFi Land operator data:</w:t>
      </w:r>
    </w:p>
    <w:tbl>
      <w:tblPr>
        <w:tblW w:type="auto" w:w="0"/>
        <w:tblLayout w:type="fixed"/>
        <w:tblLook w:firstColumn="1" w:firstRow="1" w:lastColumn="0" w:lastRow="0" w:noHBand="0" w:noVBand="1" w:val="04A0"/>
      </w:tblPr>
      <w:tblGrid>
        <w:gridCol w:w="3173"/>
        <w:gridCol w:w="3173"/>
        <w:gridCol w:w="3173"/>
      </w:tblGrid>
      <w:tr>
        <w:tc>
          <w:tcPr>
            <w:tcW w:type="dxa" w:w="1728"/>
            <w:shd w:val="clear" w:color="auto" w:fill="0F172A"/>
            <w:tcMar>
              <w:top w:w="120" w:type="dxa"/>
              <w:left w:w="160" w:type="dxa"/>
              <w:bottom w:w="120" w:type="dxa"/>
              <w:right w:w="160" w:type="dxa"/>
            </w:tcMar>
            <w:vAlign w:val="center"/>
          </w:tcPr>
          <w:p>
            <w:pPr>
              <w:spacing w:before="0" w:after="0" w:line="264" w:lineRule="auto"/>
            </w:pPr>
            <w:r/>
            <w:r>
              <w:rPr>
                <w:b/>
                <w:color w:val="FFFFFF"/>
                <w:sz w:val="20"/>
              </w:rPr>
              <w:t>Persona</w:t>
            </w:r>
          </w:p>
        </w:tc>
        <w:tc>
          <w:tcPr>
            <w:tcW w:type="dxa" w:w="864"/>
            <w:shd w:val="clear" w:color="auto" w:fill="0F172A"/>
            <w:tcMar>
              <w:top w:w="120" w:type="dxa"/>
              <w:left w:w="160" w:type="dxa"/>
              <w:bottom w:w="120" w:type="dxa"/>
              <w:right w:w="160" w:type="dxa"/>
            </w:tcMar>
            <w:vAlign w:val="center"/>
          </w:tcPr>
          <w:p>
            <w:pPr>
              <w:spacing w:before="0" w:after="0" w:line="264" w:lineRule="auto"/>
            </w:pPr>
            <w:r/>
            <w:r>
              <w:rPr>
                <w:b/>
                <w:color w:val="FFFFFF"/>
                <w:sz w:val="20"/>
              </w:rPr>
              <w:t>Share</w:t>
            </w:r>
          </w:p>
        </w:tc>
        <w:tc>
          <w:tcPr>
            <w:tcW w:type="dxa" w:w="5760"/>
            <w:shd w:val="clear" w:color="auto" w:fill="0F172A"/>
            <w:tcMar>
              <w:top w:w="120" w:type="dxa"/>
              <w:left w:w="160" w:type="dxa"/>
              <w:bottom w:w="120" w:type="dxa"/>
              <w:right w:w="160" w:type="dxa"/>
            </w:tcMar>
            <w:vAlign w:val="center"/>
          </w:tcPr>
          <w:p>
            <w:pPr>
              <w:spacing w:before="0" w:after="0" w:line="264" w:lineRule="auto"/>
            </w:pPr>
            <w:r/>
            <w:r>
              <w:rPr>
                <w:b/>
                <w:color w:val="FFFFFF"/>
                <w:sz w:val="20"/>
              </w:rPr>
              <w:t>Behavior</w:t>
            </w:r>
          </w:p>
        </w:tc>
      </w:tr>
      <w:tr>
        <w:tc>
          <w:tcPr>
            <w:tcW w:type="dxa" w:w="1728"/>
            <w:tcMar>
              <w:top w:w="110" w:type="dxa"/>
              <w:left w:w="160" w:type="dxa"/>
              <w:bottom w:w="110" w:type="dxa"/>
              <w:right w:w="160" w:type="dxa"/>
            </w:tcMar>
            <w:vAlign w:val="center"/>
          </w:tcPr>
          <w:p>
            <w:pPr>
              <w:spacing w:before="0" w:after="0" w:line="288" w:lineRule="auto"/>
            </w:pPr>
            <w:r/>
            <w:r>
              <w:rPr>
                <w:b/>
                <w:sz w:val="20"/>
              </w:rPr>
              <w:t>Casual</w:t>
            </w:r>
          </w:p>
        </w:tc>
        <w:tc>
          <w:tcPr>
            <w:tcW w:type="dxa" w:w="864"/>
            <w:tcMar>
              <w:top w:w="110" w:type="dxa"/>
              <w:left w:w="160" w:type="dxa"/>
              <w:bottom w:w="110" w:type="dxa"/>
              <w:right w:w="160" w:type="dxa"/>
            </w:tcMar>
            <w:vAlign w:val="center"/>
          </w:tcPr>
          <w:p>
            <w:pPr>
              <w:spacing w:before="0" w:after="0" w:line="288" w:lineRule="auto"/>
            </w:pPr>
            <w:r/>
            <w:r>
              <w:rPr>
                <w:sz w:val="20"/>
              </w:rPr>
              <w:t>60%</w:t>
            </w:r>
          </w:p>
        </w:tc>
        <w:tc>
          <w:tcPr>
            <w:tcW w:type="dxa" w:w="5760"/>
            <w:tcMar>
              <w:top w:w="110" w:type="dxa"/>
              <w:left w:w="160" w:type="dxa"/>
              <w:bottom w:w="110" w:type="dxa"/>
              <w:right w:w="160" w:type="dxa"/>
            </w:tcMar>
            <w:vAlign w:val="center"/>
          </w:tcPr>
          <w:p>
            <w:pPr>
              <w:spacing w:before="0" w:after="0" w:line="288" w:lineRule="auto"/>
            </w:pPr>
            <w:r/>
            <w:r>
              <w:rPr>
                <w:sz w:val="20"/>
              </w:rPr>
              <w:t>Logs in irregularly, rarely advances past T1, sells most rewards. Hobbyist or curious early adopter.</w:t>
            </w:r>
          </w:p>
        </w:tc>
      </w:tr>
      <w:tr>
        <w:tc>
          <w:tcPr>
            <w:tcW w:type="dxa" w:w="1728"/>
            <w:tcMar>
              <w:top w:w="110" w:type="dxa"/>
              <w:left w:w="160" w:type="dxa"/>
              <w:bottom w:w="110" w:type="dxa"/>
              <w:right w:w="160" w:type="dxa"/>
            </w:tcMar>
            <w:shd w:val="clear" w:color="auto" w:fill="F1F5F9"/>
            <w:vAlign w:val="center"/>
          </w:tcPr>
          <w:p>
            <w:pPr>
              <w:spacing w:before="0" w:after="0" w:line="288" w:lineRule="auto"/>
            </w:pPr>
            <w:r/>
            <w:r>
              <w:rPr>
                <w:b/>
                <w:sz w:val="20"/>
              </w:rPr>
              <w:t>Pro Earner</w:t>
            </w:r>
          </w:p>
        </w:tc>
        <w:tc>
          <w:tcPr>
            <w:tcW w:type="dxa" w:w="864"/>
            <w:tcMar>
              <w:top w:w="110" w:type="dxa"/>
              <w:left w:w="160" w:type="dxa"/>
              <w:bottom w:w="110" w:type="dxa"/>
              <w:right w:w="160" w:type="dxa"/>
            </w:tcMar>
            <w:shd w:val="clear" w:color="auto" w:fill="F1F5F9"/>
            <w:vAlign w:val="center"/>
          </w:tcPr>
          <w:p>
            <w:pPr>
              <w:spacing w:before="0" w:after="0" w:line="288" w:lineRule="auto"/>
            </w:pPr>
            <w:r/>
            <w:r>
              <w:rPr>
                <w:sz w:val="20"/>
              </w:rPr>
              <w:t>25%</w:t>
            </w:r>
          </w:p>
        </w:tc>
        <w:tc>
          <w:tcPr>
            <w:tcW w:type="dxa" w:w="5760"/>
            <w:tcMar>
              <w:top w:w="110" w:type="dxa"/>
              <w:left w:w="160" w:type="dxa"/>
              <w:bottom w:w="110" w:type="dxa"/>
              <w:right w:w="160" w:type="dxa"/>
            </w:tcMar>
            <w:shd w:val="clear" w:color="auto" w:fill="F1F5F9"/>
            <w:vAlign w:val="center"/>
          </w:tcPr>
          <w:p>
            <w:pPr>
              <w:spacing w:before="0" w:after="0" w:line="288" w:lineRule="auto"/>
            </w:pPr>
            <w:r/>
            <w:r>
              <w:rPr>
                <w:sz w:val="20"/>
              </w:rPr>
              <w:t>Optimizes time-to-T4, stakes when it makes ROI sense, sells ~50%. The yield-maximizer archetype.</w:t>
            </w:r>
          </w:p>
        </w:tc>
      </w:tr>
      <w:tr>
        <w:tc>
          <w:tcPr>
            <w:tcW w:type="dxa" w:w="1728"/>
            <w:tcMar>
              <w:top w:w="110" w:type="dxa"/>
              <w:left w:w="160" w:type="dxa"/>
              <w:bottom w:w="110" w:type="dxa"/>
              <w:right w:w="160" w:type="dxa"/>
            </w:tcMar>
            <w:vAlign w:val="center"/>
          </w:tcPr>
          <w:p>
            <w:pPr>
              <w:spacing w:before="0" w:after="0" w:line="288" w:lineRule="auto"/>
            </w:pPr>
            <w:r/>
            <w:r>
              <w:rPr>
                <w:b/>
                <w:sz w:val="20"/>
              </w:rPr>
              <w:t>Validator</w:t>
            </w:r>
          </w:p>
        </w:tc>
        <w:tc>
          <w:tcPr>
            <w:tcW w:type="dxa" w:w="864"/>
            <w:tcMar>
              <w:top w:w="110" w:type="dxa"/>
              <w:left w:w="160" w:type="dxa"/>
              <w:bottom w:w="110" w:type="dxa"/>
              <w:right w:w="160" w:type="dxa"/>
            </w:tcMar>
            <w:vAlign w:val="center"/>
          </w:tcPr>
          <w:p>
            <w:pPr>
              <w:spacing w:before="0" w:after="0" w:line="288" w:lineRule="auto"/>
            </w:pPr>
            <w:r/>
            <w:r>
              <w:rPr>
                <w:sz w:val="20"/>
              </w:rPr>
              <w:t>10%</w:t>
            </w:r>
          </w:p>
        </w:tc>
        <w:tc>
          <w:tcPr>
            <w:tcW w:type="dxa" w:w="5760"/>
            <w:tcMar>
              <w:top w:w="110" w:type="dxa"/>
              <w:left w:w="160" w:type="dxa"/>
              <w:bottom w:w="110" w:type="dxa"/>
              <w:right w:w="160" w:type="dxa"/>
            </w:tcMar>
            <w:vAlign w:val="center"/>
          </w:tcPr>
          <w:p>
            <w:pPr>
              <w:spacing w:before="0" w:after="0" w:line="288" w:lineRule="auto"/>
            </w:pPr>
            <w:r/>
            <w:r>
              <w:rPr>
                <w:sz w:val="20"/>
              </w:rPr>
              <w:t>Targets T4-T5 validation roles, stakes heavily, prioritizes reputation over rewards.</w:t>
            </w:r>
          </w:p>
        </w:tc>
      </w:tr>
      <w:tr>
        <w:tc>
          <w:tcPr>
            <w:tcW w:type="dxa" w:w="1728"/>
            <w:tcMar>
              <w:top w:w="110" w:type="dxa"/>
              <w:left w:w="160" w:type="dxa"/>
              <w:bottom w:w="110" w:type="dxa"/>
              <w:right w:w="160" w:type="dxa"/>
            </w:tcMar>
            <w:shd w:val="clear" w:color="auto" w:fill="F1F5F9"/>
            <w:vAlign w:val="center"/>
          </w:tcPr>
          <w:p>
            <w:pPr>
              <w:spacing w:before="0" w:after="0" w:line="288" w:lineRule="auto"/>
            </w:pPr>
            <w:r/>
            <w:r>
              <w:rPr>
                <w:b/>
                <w:sz w:val="20"/>
              </w:rPr>
              <w:t>HW Investor</w:t>
            </w:r>
          </w:p>
        </w:tc>
        <w:tc>
          <w:tcPr>
            <w:tcW w:type="dxa" w:w="864"/>
            <w:tcMar>
              <w:top w:w="110" w:type="dxa"/>
              <w:left w:w="160" w:type="dxa"/>
              <w:bottom w:w="110" w:type="dxa"/>
              <w:right w:w="160" w:type="dxa"/>
            </w:tcMar>
            <w:shd w:val="clear" w:color="auto" w:fill="F1F5F9"/>
            <w:vAlign w:val="center"/>
          </w:tcPr>
          <w:p>
            <w:pPr>
              <w:spacing w:before="0" w:after="0" w:line="288" w:lineRule="auto"/>
            </w:pPr>
            <w:r/>
            <w:r>
              <w:rPr>
                <w:sz w:val="20"/>
              </w:rPr>
              <w:t>5%</w:t>
            </w:r>
          </w:p>
        </w:tc>
        <w:tc>
          <w:tcPr>
            <w:tcW w:type="dxa" w:w="5760"/>
            <w:tcMar>
              <w:top w:w="110" w:type="dxa"/>
              <w:left w:w="160" w:type="dxa"/>
              <w:bottom w:w="110" w:type="dxa"/>
              <w:right w:w="160" w:type="dxa"/>
            </w:tcMar>
            <w:shd w:val="clear" w:color="auto" w:fill="F1F5F9"/>
            <w:vAlign w:val="center"/>
          </w:tcPr>
          <w:p>
            <w:pPr>
              <w:spacing w:before="0" w:after="0" w:line="288" w:lineRule="auto"/>
            </w:pPr>
            <w:r/>
            <w:r>
              <w:rPr>
                <w:sz w:val="20"/>
              </w:rPr>
              <w:t>Datacenter-class hardware buyer, targets T6, holds tokens long-term, the supply-side whale.</w:t>
            </w:r>
          </w:p>
        </w:tc>
      </w:tr>
    </w:tbl>
    <w:p/>
    <w:p>
      <w:pPr>
        <w:spacing w:before="240" w:after="80" w:line="276" w:lineRule="auto"/>
      </w:pPr>
      <w:r>
        <w:rPr>
          <w:b/>
          <w:color w:val="0F172A"/>
          <w:sz w:val="24"/>
        </w:rPr>
        <w:t>Learning curve</w:t>
      </w:r>
    </w:p>
    <w:p>
      <w:pPr>
        <w:spacing w:before="0" w:after="160" w:line="348" w:lineRule="auto"/>
      </w:pPr>
      <w:r>
        <w:rPr>
          <w:b w:val="0"/>
          <w:i w:val="0"/>
          <w:sz w:val="22"/>
        </w:rPr>
        <w:t>Each operator's effective skill improves with experience, capped at +30%: skill = alpha * log(1 + experience_hours / 100). This models the well-documented learning effect in distributed work platforms - new operators do not perform at the same level as experienced ones, and ignoring this in a simulation systematically overestimates early-cohort output quality.</w:t>
      </w:r>
    </w:p>
    <w:p>
      <w:pPr>
        <w:spacing w:before="240" w:after="80" w:line="276" w:lineRule="auto"/>
      </w:pPr>
      <w:r>
        <w:rPr>
          <w:b/>
          <w:color w:val="0F172A"/>
          <w:sz w:val="24"/>
        </w:rPr>
        <w:t>Decision policy</w:t>
      </w:r>
    </w:p>
    <w:p>
      <w:pPr>
        <w:spacing w:before="0" w:after="160" w:line="348" w:lineRule="auto"/>
      </w:pPr>
      <w:r>
        <w:rPr>
          <w:b w:val="0"/>
          <w:i w:val="0"/>
          <w:sz w:val="22"/>
        </w:rPr>
        <w:t>Each persona has a different probability vector over four monthly decisions: stake more, sell more, advance to next tier, specialize (stay at current tier and accumulate reputation). Casual operators rarely advance; HW Investors almost always advance; Pro Earners are ROI-conditional.</w:t>
      </w:r>
    </w:p>
    <w:p>
      <w:pPr>
        <w:spacing w:before="240" w:after="80" w:line="276" w:lineRule="auto"/>
      </w:pPr>
      <w:r>
        <w:rPr>
          <w:b/>
          <w:color w:val="0F172A"/>
          <w:sz w:val="24"/>
        </w:rPr>
        <w:t>Referrals</w:t>
      </w:r>
    </w:p>
    <w:p>
      <w:pPr>
        <w:spacing w:before="0" w:after="80" w:line="348" w:lineRule="auto"/>
      </w:pPr>
      <w:r>
        <w:rPr>
          <w:b w:val="0"/>
          <w:i w:val="0"/>
          <w:sz w:val="22"/>
        </w:rPr>
        <w:t>Each active operator spawns Poisson(0.02) new operators per month - one referral per fifty operator-months on average. The referred operator inherits the parent's persona with 30% probability, otherwise samples freshly. This is how the operator population grows organically beyond the seeded TGE cohort.</w:t>
      </w:r>
    </w:p>
    <w:p>
      <w:r>
        <w:br w:type="page"/>
      </w:r>
    </w:p>
    <w:p>
      <w:pPr>
        <w:spacing w:before="360" w:after="120" w:line="264" w:lineRule="auto"/>
        <w:pBdr>
          <w:left w:val="single" w:sz="24" w:space="10" w:color="0F172A"/>
        </w:pBdr>
      </w:pPr>
      <w:r>
        <w:rPr>
          <w:b/>
          <w:color w:val="0F172A"/>
          <w:sz w:val="30"/>
        </w:rPr>
        <w:t xml:space="preserve">  6. Pillar 2  -  Customers</w:t>
      </w:r>
    </w:p>
    <w:p>
      <w:pPr>
        <w:spacing w:before="0" w:after="160" w:line="348" w:lineRule="auto"/>
      </w:pPr>
      <w:r>
        <w:rPr>
          <w:b w:val="0"/>
          <w:i w:val="0"/>
          <w:sz w:val="22"/>
        </w:rPr>
        <w:t>In v3 customers were an aggregate demand curve. In v4 they are individual agents with industries, contract sizes, satisfaction trajectories, and their own churn and expansion logic.</w:t>
      </w:r>
    </w:p>
    <w:p>
      <w:pPr>
        <w:spacing w:before="240" w:after="80" w:line="276" w:lineRule="auto"/>
      </w:pPr>
      <w:r>
        <w:rPr>
          <w:b/>
          <w:color w:val="0F172A"/>
          <w:sz w:val="24"/>
        </w:rPr>
        <w:t>Industry segments and arrival</w:t>
      </w:r>
    </w:p>
    <w:p>
      <w:pPr>
        <w:spacing w:before="0" w:after="160" w:line="348" w:lineRule="auto"/>
      </w:pPr>
      <w:r>
        <w:rPr>
          <w:b w:val="0"/>
          <w:i w:val="0"/>
          <w:sz w:val="22"/>
        </w:rPr>
        <w:t>Four industry segments arrive into the network at segment-specific Poisson rates. The rates are calibrated against early CrowdTrain sales conversations and DePIN sector benchmarks:</w:t>
      </w:r>
    </w:p>
    <w:tbl>
      <w:tblPr>
        <w:tblW w:type="auto" w:w="0"/>
        <w:tblLayout w:type="fixed"/>
        <w:tblLook w:firstColumn="1" w:firstRow="1" w:lastColumn="0" w:lastRow="0" w:noHBand="0" w:noVBand="1" w:val="04A0"/>
      </w:tblPr>
      <w:tblGrid>
        <w:gridCol w:w="3173"/>
        <w:gridCol w:w="3173"/>
        <w:gridCol w:w="3173"/>
      </w:tblGrid>
      <w:tr>
        <w:tc>
          <w:tcPr>
            <w:tcW w:type="dxa" w:w="2304"/>
            <w:shd w:val="clear" w:color="auto" w:fill="0F172A"/>
            <w:tcMar>
              <w:top w:w="120" w:type="dxa"/>
              <w:left w:w="160" w:type="dxa"/>
              <w:bottom w:w="120" w:type="dxa"/>
              <w:right w:w="160" w:type="dxa"/>
            </w:tcMar>
            <w:vAlign w:val="center"/>
          </w:tcPr>
          <w:p>
            <w:pPr>
              <w:spacing w:before="0" w:after="0" w:line="264" w:lineRule="auto"/>
            </w:pPr>
            <w:r/>
            <w:r>
              <w:rPr>
                <w:b/>
                <w:color w:val="FFFFFF"/>
                <w:sz w:val="20"/>
              </w:rPr>
              <w:t>Segment</w:t>
            </w:r>
          </w:p>
        </w:tc>
        <w:tc>
          <w:tcPr>
            <w:tcW w:type="dxa" w:w="2592"/>
            <w:shd w:val="clear" w:color="auto" w:fill="0F172A"/>
            <w:tcMar>
              <w:top w:w="120" w:type="dxa"/>
              <w:left w:w="160" w:type="dxa"/>
              <w:bottom w:w="120" w:type="dxa"/>
              <w:right w:w="160" w:type="dxa"/>
            </w:tcMar>
            <w:vAlign w:val="center"/>
          </w:tcPr>
          <w:p>
            <w:pPr>
              <w:spacing w:before="0" w:after="0" w:line="264" w:lineRule="auto"/>
            </w:pPr>
            <w:r/>
            <w:r>
              <w:rPr>
                <w:b/>
                <w:color w:val="FFFFFF"/>
                <w:sz w:val="20"/>
              </w:rPr>
              <w:t>Annual arrival rate</w:t>
            </w:r>
          </w:p>
        </w:tc>
        <w:tc>
          <w:tcPr>
            <w:tcW w:type="dxa" w:w="3456"/>
            <w:shd w:val="clear" w:color="auto" w:fill="0F172A"/>
            <w:tcMar>
              <w:top w:w="120" w:type="dxa"/>
              <w:left w:w="160" w:type="dxa"/>
              <w:bottom w:w="120" w:type="dxa"/>
              <w:right w:w="160" w:type="dxa"/>
            </w:tcMar>
            <w:vAlign w:val="center"/>
          </w:tcPr>
          <w:p>
            <w:pPr>
              <w:spacing w:before="0" w:after="0" w:line="264" w:lineRule="auto"/>
            </w:pPr>
            <w:r/>
            <w:r>
              <w:rPr>
                <w:b/>
                <w:color w:val="FFFFFF"/>
                <w:sz w:val="20"/>
              </w:rPr>
              <w:t>Segment mean contract size</w:t>
            </w:r>
          </w:p>
        </w:tc>
      </w:tr>
      <w:tr>
        <w:tc>
          <w:tcPr>
            <w:tcW w:type="dxa" w:w="2304"/>
            <w:tcMar>
              <w:top w:w="110" w:type="dxa"/>
              <w:left w:w="160" w:type="dxa"/>
              <w:bottom w:w="110" w:type="dxa"/>
              <w:right w:w="160" w:type="dxa"/>
            </w:tcMar>
            <w:vAlign w:val="center"/>
          </w:tcPr>
          <w:p>
            <w:pPr>
              <w:spacing w:before="0" w:after="0" w:line="288" w:lineRule="auto"/>
            </w:pPr>
            <w:r/>
            <w:r>
              <w:rPr>
                <w:b/>
                <w:sz w:val="20"/>
              </w:rPr>
              <w:t>Manufacturing</w:t>
            </w:r>
          </w:p>
        </w:tc>
        <w:tc>
          <w:tcPr>
            <w:tcW w:type="dxa" w:w="2592"/>
            <w:tcMar>
              <w:top w:w="110" w:type="dxa"/>
              <w:left w:w="160" w:type="dxa"/>
              <w:bottom w:w="110" w:type="dxa"/>
              <w:right w:w="160" w:type="dxa"/>
            </w:tcMar>
            <w:vAlign w:val="center"/>
          </w:tcPr>
          <w:p>
            <w:pPr>
              <w:spacing w:before="0" w:after="0" w:line="288" w:lineRule="auto"/>
            </w:pPr>
            <w:r/>
            <w:r>
              <w:rPr>
                <w:sz w:val="20"/>
              </w:rPr>
              <w:t>15% of base lambda</w:t>
            </w:r>
          </w:p>
        </w:tc>
        <w:tc>
          <w:tcPr>
            <w:tcW w:type="dxa" w:w="3456"/>
            <w:tcMar>
              <w:top w:w="110" w:type="dxa"/>
              <w:left w:w="160" w:type="dxa"/>
              <w:bottom w:w="110" w:type="dxa"/>
              <w:right w:w="160" w:type="dxa"/>
            </w:tcMar>
            <w:vAlign w:val="center"/>
          </w:tcPr>
          <w:p>
            <w:pPr>
              <w:spacing w:before="0" w:after="0" w:line="288" w:lineRule="auto"/>
            </w:pPr>
            <w:r/>
            <w:r>
              <w:rPr>
                <w:sz w:val="20"/>
              </w:rPr>
              <w:t>~$80K / month</w:t>
            </w:r>
          </w:p>
        </w:tc>
      </w:tr>
      <w:tr>
        <w:tc>
          <w:tcPr>
            <w:tcW w:type="dxa" w:w="2304"/>
            <w:tcMar>
              <w:top w:w="110" w:type="dxa"/>
              <w:left w:w="160" w:type="dxa"/>
              <w:bottom w:w="110" w:type="dxa"/>
              <w:right w:w="160" w:type="dxa"/>
            </w:tcMar>
            <w:shd w:val="clear" w:color="auto" w:fill="F1F5F9"/>
            <w:vAlign w:val="center"/>
          </w:tcPr>
          <w:p>
            <w:pPr>
              <w:spacing w:before="0" w:after="0" w:line="288" w:lineRule="auto"/>
            </w:pPr>
            <w:r/>
            <w:r>
              <w:rPr>
                <w:b/>
                <w:sz w:val="20"/>
              </w:rPr>
              <w:t>Warehouse</w:t>
            </w:r>
          </w:p>
        </w:tc>
        <w:tc>
          <w:tcPr>
            <w:tcW w:type="dxa" w:w="2592"/>
            <w:tcMar>
              <w:top w:w="110" w:type="dxa"/>
              <w:left w:w="160" w:type="dxa"/>
              <w:bottom w:w="110" w:type="dxa"/>
              <w:right w:w="160" w:type="dxa"/>
            </w:tcMar>
            <w:shd w:val="clear" w:color="auto" w:fill="F1F5F9"/>
            <w:vAlign w:val="center"/>
          </w:tcPr>
          <w:p>
            <w:pPr>
              <w:spacing w:before="0" w:after="0" w:line="288" w:lineRule="auto"/>
            </w:pPr>
            <w:r/>
            <w:r>
              <w:rPr>
                <w:sz w:val="20"/>
              </w:rPr>
              <w:t>25%</w:t>
            </w:r>
          </w:p>
        </w:tc>
        <w:tc>
          <w:tcPr>
            <w:tcW w:type="dxa" w:w="3456"/>
            <w:tcMar>
              <w:top w:w="110" w:type="dxa"/>
              <w:left w:w="160" w:type="dxa"/>
              <w:bottom w:w="110" w:type="dxa"/>
              <w:right w:w="160" w:type="dxa"/>
            </w:tcMar>
            <w:shd w:val="clear" w:color="auto" w:fill="F1F5F9"/>
            <w:vAlign w:val="center"/>
          </w:tcPr>
          <w:p>
            <w:pPr>
              <w:spacing w:before="0" w:after="0" w:line="288" w:lineRule="auto"/>
            </w:pPr>
            <w:r/>
            <w:r>
              <w:rPr>
                <w:sz w:val="20"/>
              </w:rPr>
              <w:t>~$60K / month</w:t>
            </w:r>
          </w:p>
        </w:tc>
      </w:tr>
      <w:tr>
        <w:tc>
          <w:tcPr>
            <w:tcW w:type="dxa" w:w="2304"/>
            <w:tcMar>
              <w:top w:w="110" w:type="dxa"/>
              <w:left w:w="160" w:type="dxa"/>
              <w:bottom w:w="110" w:type="dxa"/>
              <w:right w:w="160" w:type="dxa"/>
            </w:tcMar>
            <w:vAlign w:val="center"/>
          </w:tcPr>
          <w:p>
            <w:pPr>
              <w:spacing w:before="0" w:after="0" w:line="288" w:lineRule="auto"/>
            </w:pPr>
            <w:r/>
            <w:r>
              <w:rPr>
                <w:b/>
                <w:sz w:val="20"/>
              </w:rPr>
              <w:t>Healthcare</w:t>
            </w:r>
          </w:p>
        </w:tc>
        <w:tc>
          <w:tcPr>
            <w:tcW w:type="dxa" w:w="2592"/>
            <w:tcMar>
              <w:top w:w="110" w:type="dxa"/>
              <w:left w:w="160" w:type="dxa"/>
              <w:bottom w:w="110" w:type="dxa"/>
              <w:right w:w="160" w:type="dxa"/>
            </w:tcMar>
            <w:vAlign w:val="center"/>
          </w:tcPr>
          <w:p>
            <w:pPr>
              <w:spacing w:before="0" w:after="0" w:line="288" w:lineRule="auto"/>
            </w:pPr>
            <w:r/>
            <w:r>
              <w:rPr>
                <w:sz w:val="20"/>
              </w:rPr>
              <w:t>10%</w:t>
            </w:r>
          </w:p>
        </w:tc>
        <w:tc>
          <w:tcPr>
            <w:tcW w:type="dxa" w:w="3456"/>
            <w:tcMar>
              <w:top w:w="110" w:type="dxa"/>
              <w:left w:w="160" w:type="dxa"/>
              <w:bottom w:w="110" w:type="dxa"/>
              <w:right w:w="160" w:type="dxa"/>
            </w:tcMar>
            <w:vAlign w:val="center"/>
          </w:tcPr>
          <w:p>
            <w:pPr>
              <w:spacing w:before="0" w:after="0" w:line="288" w:lineRule="auto"/>
            </w:pPr>
            <w:r/>
            <w:r>
              <w:rPr>
                <w:sz w:val="20"/>
              </w:rPr>
              <w:t>~$120K / month</w:t>
            </w:r>
          </w:p>
        </w:tc>
      </w:tr>
      <w:tr>
        <w:tc>
          <w:tcPr>
            <w:tcW w:type="dxa" w:w="2304"/>
            <w:tcMar>
              <w:top w:w="110" w:type="dxa"/>
              <w:left w:w="160" w:type="dxa"/>
              <w:bottom w:w="110" w:type="dxa"/>
              <w:right w:w="160" w:type="dxa"/>
            </w:tcMar>
            <w:shd w:val="clear" w:color="auto" w:fill="F1F5F9"/>
            <w:vAlign w:val="center"/>
          </w:tcPr>
          <w:p>
            <w:pPr>
              <w:spacing w:before="0" w:after="0" w:line="288" w:lineRule="auto"/>
            </w:pPr>
            <w:r/>
            <w:r>
              <w:rPr>
                <w:b/>
                <w:sz w:val="20"/>
              </w:rPr>
              <w:t>Robotics OEM</w:t>
            </w:r>
          </w:p>
        </w:tc>
        <w:tc>
          <w:tcPr>
            <w:tcW w:type="dxa" w:w="2592"/>
            <w:tcMar>
              <w:top w:w="110" w:type="dxa"/>
              <w:left w:w="160" w:type="dxa"/>
              <w:bottom w:w="110" w:type="dxa"/>
              <w:right w:w="160" w:type="dxa"/>
            </w:tcMar>
            <w:shd w:val="clear" w:color="auto" w:fill="F1F5F9"/>
            <w:vAlign w:val="center"/>
          </w:tcPr>
          <w:p>
            <w:pPr>
              <w:spacing w:before="0" w:after="0" w:line="288" w:lineRule="auto"/>
            </w:pPr>
            <w:r/>
            <w:r>
              <w:rPr>
                <w:sz w:val="20"/>
              </w:rPr>
              <w:t>8%</w:t>
            </w:r>
          </w:p>
        </w:tc>
        <w:tc>
          <w:tcPr>
            <w:tcW w:type="dxa" w:w="3456"/>
            <w:tcMar>
              <w:top w:w="110" w:type="dxa"/>
              <w:left w:w="160" w:type="dxa"/>
              <w:bottom w:w="110" w:type="dxa"/>
              <w:right w:w="160" w:type="dxa"/>
            </w:tcMar>
            <w:shd w:val="clear" w:color="auto" w:fill="F1F5F9"/>
            <w:vAlign w:val="center"/>
          </w:tcPr>
          <w:p>
            <w:pPr>
              <w:spacing w:before="0" w:after="0" w:line="288" w:lineRule="auto"/>
            </w:pPr>
            <w:r/>
            <w:r>
              <w:rPr>
                <w:sz w:val="20"/>
              </w:rPr>
              <w:t>~$100K / month</w:t>
            </w:r>
          </w:p>
        </w:tc>
      </w:tr>
    </w:tbl>
    <w:p/>
    <w:p>
      <w:pPr>
        <w:spacing w:before="240" w:after="80" w:line="276" w:lineRule="auto"/>
      </w:pPr>
      <w:r>
        <w:rPr>
          <w:b/>
          <w:color w:val="0F172A"/>
          <w:sz w:val="24"/>
        </w:rPr>
        <w:t>Contract sizing</w:t>
      </w:r>
    </w:p>
    <w:p>
      <w:pPr>
        <w:spacing w:before="0" w:after="160" w:line="348" w:lineRule="auto"/>
      </w:pPr>
      <w:r>
        <w:rPr>
          <w:b w:val="0"/>
          <w:i w:val="0"/>
          <w:sz w:val="22"/>
        </w:rPr>
        <w:t>Contract sizes follow a Pareto distribution (alpha=1.5) capped between 0.10x and 3.0x of segment mean. This produces the heavy-tail concentration we see in real enterprise sales: a small number of large customers contribute most of the revenue. The top-3 concentration metric measures this directly.</w:t>
      </w:r>
    </w:p>
    <w:p>
      <w:pPr>
        <w:spacing w:before="240" w:after="80" w:line="276" w:lineRule="auto"/>
      </w:pPr>
      <w:r>
        <w:rPr>
          <w:b/>
          <w:color w:val="0F172A"/>
          <w:sz w:val="24"/>
        </w:rPr>
        <w:t>Design partners</w:t>
      </w:r>
    </w:p>
    <w:p>
      <w:pPr>
        <w:spacing w:before="0" w:after="160" w:line="348" w:lineRule="auto"/>
      </w:pPr>
      <w:r>
        <w:rPr>
          <w:b w:val="0"/>
          <w:i w:val="0"/>
          <w:sz w:val="22"/>
        </w:rPr>
        <w:t>Three design partners are seeded at TGE: a manufacturing customer at $100K, a warehouse customer at $80K, and a healthcare customer at $150K. They represent the early commercial relationships CrowdTrain expects to close before public launch. Their behavior is the same as any other customer after seeding.</w:t>
      </w:r>
    </w:p>
    <w:p>
      <w:pPr>
        <w:spacing w:before="240" w:after="80" w:line="276" w:lineRule="auto"/>
      </w:pPr>
      <w:r>
        <w:rPr>
          <w:b/>
          <w:color w:val="0F172A"/>
          <w:sz w:val="24"/>
        </w:rPr>
        <w:t>Satisfaction, churn, and expansion</w:t>
      </w:r>
    </w:p>
    <w:p>
      <w:pPr>
        <w:spacing w:before="0" w:after="160" w:line="348" w:lineRule="auto"/>
      </w:pPr>
      <w:r>
        <w:rPr>
          <w:b w:val="0"/>
          <w:i w:val="0"/>
          <w:sz w:val="22"/>
        </w:rPr>
        <w:t>Each customer has a satisfaction score updated monthly: satisfaction = 0.40 * quality + 0.40 * fulfillment_pct + 0.20 * sla_pct. We treat the first 12 months after TGE as a bootstrap grace window in which satisfaction does not update (the network is still standing up supply). After grace:</w:t>
      </w:r>
    </w:p>
    <w:p>
      <w:pPr>
        <w:pStyle w:val="ListBullet"/>
        <w:spacing w:before="0" w:after="60" w:line="312" w:lineRule="auto"/>
      </w:pPr>
      <w:r>
        <w:t>Customers below 0.50 satisfaction for 3 consecutive months churn.</w:t>
      </w:r>
    </w:p>
    <w:p>
      <w:pPr>
        <w:pStyle w:val="ListBullet"/>
        <w:spacing w:before="0" w:after="60" w:line="312" w:lineRule="auto"/>
      </w:pPr>
      <w:r>
        <w:t>Customers above 0.80 satisfaction for 3 consecutive months expand by 1.20x (capped at 3.0x of original size).</w:t>
      </w:r>
    </w:p>
    <w:p>
      <w:pPr>
        <w:pStyle w:val="ListBullet"/>
        <w:spacing w:before="0" w:after="60" w:line="312" w:lineRule="auto"/>
      </w:pPr>
      <w:r>
        <w:t>If the network has no operators at the customer's required tier, the satisfaction calculation is softened to 0.3x weight rather than penalizing the customer for unfillable demand.</w:t>
      </w:r>
    </w:p>
    <w:p>
      <w:pPr>
        <w:spacing w:before="360" w:after="120" w:line="264" w:lineRule="auto"/>
        <w:pBdr>
          <w:left w:val="single" w:sz="24" w:space="10" w:color="0F172A"/>
        </w:pBdr>
      </w:pPr>
      <w:r>
        <w:rPr>
          <w:b/>
          <w:color w:val="0F172A"/>
          <w:sz w:val="30"/>
        </w:rPr>
        <w:t xml:space="preserve">  7. Pillar 3  -  Macro economy</w:t>
      </w:r>
    </w:p>
    <w:p>
      <w:pPr>
        <w:spacing w:before="0" w:after="160" w:line="348" w:lineRule="auto"/>
      </w:pPr>
      <w:r>
        <w:rPr>
          <w:b w:val="0"/>
          <w:i w:val="0"/>
          <w:sz w:val="22"/>
        </w:rPr>
        <w:t>The macro pillar gives the simulation a price surface, a market regime, and a calendar of adverse events. It exists because tokenomics that work in calm bull conditions can fail catastrophically in a bear market, and we cannot test that without modeling the macro.</w:t>
      </w:r>
    </w:p>
    <w:p>
      <w:pPr>
        <w:spacing w:before="240" w:after="80" w:line="276" w:lineRule="auto"/>
      </w:pPr>
      <w:r>
        <w:rPr>
          <w:b/>
          <w:color w:val="0F172A"/>
          <w:sz w:val="24"/>
        </w:rPr>
        <w:t>Sentiment HMM</w:t>
      </w:r>
    </w:p>
    <w:p>
      <w:pPr>
        <w:spacing w:before="0" w:after="160" w:line="348" w:lineRule="auto"/>
      </w:pPr>
      <w:r>
        <w:rPr>
          <w:b w:val="0"/>
          <w:i w:val="0"/>
          <w:sz w:val="22"/>
        </w:rPr>
        <w:t>A two-state hidden Markov model alternates between bull and bear regimes. Transition probabilities are asymmetric: p(bull -&gt; bear) = 1/21, p(bear -&gt; bull) = 1/9. This produces an expected ~70% bull / 30% bear mix with realistic regime persistence. The sentiment state shifts arrival rates and price-impact multipliers without acting as a binary on/off.</w:t>
      </w:r>
    </w:p>
    <w:p>
      <w:pPr>
        <w:spacing w:before="240" w:after="80" w:line="276" w:lineRule="auto"/>
      </w:pPr>
      <w:r>
        <w:rPr>
          <w:b/>
          <w:color w:val="0F172A"/>
          <w:sz w:val="24"/>
        </w:rPr>
        <w:t>Constant-product AMM</w:t>
      </w:r>
    </w:p>
    <w:p>
      <w:pPr>
        <w:spacing w:before="0" w:after="160" w:line="348" w:lineRule="auto"/>
      </w:pPr>
      <w:r>
        <w:rPr>
          <w:b w:val="0"/>
          <w:i w:val="0"/>
          <w:sz w:val="22"/>
        </w:rPr>
        <w:t>Operators that want to convert tokens to dollars (or vice versa) trade against an x*y=k AMM seeded at TGE with $1M USD plus 1M tokens. Medium depth: a $100K sell produces approximately a -10% price impact. The AMM is the dominant price-formation mechanism in early months and becomes less load-bearing as treasury fiat ramps from customer revenue.</w:t>
      </w:r>
    </w:p>
    <w:p>
      <w:pPr>
        <w:spacing w:before="240" w:after="80" w:line="276" w:lineRule="auto"/>
      </w:pPr>
      <w:r>
        <w:rPr>
          <w:b/>
          <w:color w:val="0F172A"/>
          <w:sz w:val="24"/>
        </w:rPr>
        <w:t>Default event schedule</w:t>
      </w:r>
    </w:p>
    <w:tbl>
      <w:tblPr>
        <w:tblW w:type="auto" w:w="0"/>
        <w:tblLayout w:type="fixed"/>
        <w:tblLook w:firstColumn="1" w:firstRow="1" w:lastColumn="0" w:lastRow="0" w:noHBand="0" w:noVBand="1" w:val="04A0"/>
      </w:tblPr>
      <w:tblGrid>
        <w:gridCol w:w="3173"/>
        <w:gridCol w:w="3173"/>
        <w:gridCol w:w="3173"/>
      </w:tblGrid>
      <w:tr>
        <w:tc>
          <w:tcPr>
            <w:tcW w:type="dxa" w:w="1008"/>
            <w:shd w:val="clear" w:color="auto" w:fill="0F172A"/>
            <w:tcMar>
              <w:top w:w="120" w:type="dxa"/>
              <w:left w:w="160" w:type="dxa"/>
              <w:bottom w:w="120" w:type="dxa"/>
              <w:right w:w="160" w:type="dxa"/>
            </w:tcMar>
            <w:vAlign w:val="center"/>
          </w:tcPr>
          <w:p>
            <w:pPr>
              <w:spacing w:before="0" w:after="0" w:line="264" w:lineRule="auto"/>
            </w:pPr>
            <w:r/>
            <w:r>
              <w:rPr>
                <w:b/>
                <w:color w:val="FFFFFF"/>
                <w:sz w:val="20"/>
              </w:rPr>
              <w:t>Month</w:t>
            </w:r>
          </w:p>
        </w:tc>
        <w:tc>
          <w:tcPr>
            <w:tcW w:type="dxa" w:w="3456"/>
            <w:shd w:val="clear" w:color="auto" w:fill="0F172A"/>
            <w:tcMar>
              <w:top w:w="120" w:type="dxa"/>
              <w:left w:w="160" w:type="dxa"/>
              <w:bottom w:w="120" w:type="dxa"/>
              <w:right w:w="160" w:type="dxa"/>
            </w:tcMar>
            <w:vAlign w:val="center"/>
          </w:tcPr>
          <w:p>
            <w:pPr>
              <w:spacing w:before="0" w:after="0" w:line="264" w:lineRule="auto"/>
            </w:pPr>
            <w:r/>
            <w:r>
              <w:rPr>
                <w:b/>
                <w:color w:val="FFFFFF"/>
                <w:sz w:val="20"/>
              </w:rPr>
              <w:t>Event</w:t>
            </w:r>
          </w:p>
        </w:tc>
        <w:tc>
          <w:tcPr>
            <w:tcW w:type="dxa" w:w="3888"/>
            <w:shd w:val="clear" w:color="auto" w:fill="0F172A"/>
            <w:tcMar>
              <w:top w:w="120" w:type="dxa"/>
              <w:left w:w="160" w:type="dxa"/>
              <w:bottom w:w="120" w:type="dxa"/>
              <w:right w:w="160" w:type="dxa"/>
            </w:tcMar>
            <w:vAlign w:val="center"/>
          </w:tcPr>
          <w:p>
            <w:pPr>
              <w:spacing w:before="0" w:after="0" w:line="264" w:lineRule="auto"/>
            </w:pPr>
            <w:r/>
            <w:r>
              <w:rPr>
                <w:b/>
                <w:color w:val="FFFFFF"/>
                <w:sz w:val="20"/>
              </w:rPr>
              <w:t>Effect</w:t>
            </w:r>
          </w:p>
        </w:tc>
      </w:tr>
      <w:tr>
        <w:tc>
          <w:tcPr>
            <w:tcW w:type="dxa" w:w="1008"/>
            <w:tcMar>
              <w:top w:w="110" w:type="dxa"/>
              <w:left w:w="160" w:type="dxa"/>
              <w:bottom w:w="110" w:type="dxa"/>
              <w:right w:w="160" w:type="dxa"/>
            </w:tcMar>
            <w:vAlign w:val="center"/>
          </w:tcPr>
          <w:p>
            <w:pPr>
              <w:spacing w:before="0" w:after="0" w:line="288" w:lineRule="auto"/>
            </w:pPr>
            <w:r/>
            <w:r>
              <w:rPr>
                <w:b/>
                <w:sz w:val="20"/>
              </w:rPr>
              <w:t>18</w:t>
            </w:r>
          </w:p>
        </w:tc>
        <w:tc>
          <w:tcPr>
            <w:tcW w:type="dxa" w:w="3456"/>
            <w:tcMar>
              <w:top w:w="110" w:type="dxa"/>
              <w:left w:w="160" w:type="dxa"/>
              <w:bottom w:w="110" w:type="dxa"/>
              <w:right w:w="160" w:type="dxa"/>
            </w:tcMar>
            <w:vAlign w:val="center"/>
          </w:tcPr>
          <w:p>
            <w:pPr>
              <w:spacing w:before="0" w:after="0" w:line="288" w:lineRule="auto"/>
            </w:pPr>
            <w:r/>
            <w:r>
              <w:rPr>
                <w:sz w:val="20"/>
              </w:rPr>
              <w:t>Competitor protocol launches</w:t>
            </w:r>
          </w:p>
        </w:tc>
        <w:tc>
          <w:tcPr>
            <w:tcW w:type="dxa" w:w="3888"/>
            <w:tcMar>
              <w:top w:w="110" w:type="dxa"/>
              <w:left w:w="160" w:type="dxa"/>
              <w:bottom w:w="110" w:type="dxa"/>
              <w:right w:w="160" w:type="dxa"/>
            </w:tcMar>
            <w:vAlign w:val="center"/>
          </w:tcPr>
          <w:p>
            <w:pPr>
              <w:spacing w:before="0" w:after="0" w:line="288" w:lineRule="auto"/>
            </w:pPr>
            <w:r/>
            <w:r>
              <w:rPr>
                <w:sz w:val="20"/>
              </w:rPr>
              <w:t>Customer arrival rate x 0.7 for 6 months</w:t>
            </w:r>
          </w:p>
        </w:tc>
      </w:tr>
      <w:tr>
        <w:tc>
          <w:tcPr>
            <w:tcW w:type="dxa" w:w="1008"/>
            <w:tcMar>
              <w:top w:w="110" w:type="dxa"/>
              <w:left w:w="160" w:type="dxa"/>
              <w:bottom w:w="110" w:type="dxa"/>
              <w:right w:w="160" w:type="dxa"/>
            </w:tcMar>
            <w:shd w:val="clear" w:color="auto" w:fill="F1F5F9"/>
            <w:vAlign w:val="center"/>
          </w:tcPr>
          <w:p>
            <w:pPr>
              <w:spacing w:before="0" w:after="0" w:line="288" w:lineRule="auto"/>
            </w:pPr>
            <w:r/>
            <w:r>
              <w:rPr>
                <w:b/>
                <w:sz w:val="20"/>
              </w:rPr>
              <w:t>24</w:t>
            </w:r>
          </w:p>
        </w:tc>
        <w:tc>
          <w:tcPr>
            <w:tcW w:type="dxa" w:w="3456"/>
            <w:tcMar>
              <w:top w:w="110" w:type="dxa"/>
              <w:left w:w="160" w:type="dxa"/>
              <w:bottom w:w="110" w:type="dxa"/>
              <w:right w:w="160" w:type="dxa"/>
            </w:tcMar>
            <w:shd w:val="clear" w:color="auto" w:fill="F1F5F9"/>
            <w:vAlign w:val="center"/>
          </w:tcPr>
          <w:p>
            <w:pPr>
              <w:spacing w:before="0" w:after="0" w:line="288" w:lineRule="auto"/>
            </w:pPr>
            <w:r/>
            <w:r>
              <w:rPr>
                <w:sz w:val="20"/>
              </w:rPr>
              <w:t>SEC enforcement uncertainty</w:t>
            </w:r>
          </w:p>
        </w:tc>
        <w:tc>
          <w:tcPr>
            <w:tcW w:type="dxa" w:w="3888"/>
            <w:tcMar>
              <w:top w:w="110" w:type="dxa"/>
              <w:left w:w="160" w:type="dxa"/>
              <w:bottom w:w="110" w:type="dxa"/>
              <w:right w:w="160" w:type="dxa"/>
            </w:tcMar>
            <w:shd w:val="clear" w:color="auto" w:fill="F1F5F9"/>
            <w:vAlign w:val="center"/>
          </w:tcPr>
          <w:p>
            <w:pPr>
              <w:spacing w:before="0" w:after="0" w:line="288" w:lineRule="auto"/>
            </w:pPr>
            <w:r/>
            <w:r>
              <w:rPr>
                <w:sz w:val="20"/>
              </w:rPr>
              <w:t>Token price multiplier 0.75 (one-shot)</w:t>
            </w:r>
          </w:p>
        </w:tc>
      </w:tr>
      <w:tr>
        <w:tc>
          <w:tcPr>
            <w:tcW w:type="dxa" w:w="1008"/>
            <w:tcMar>
              <w:top w:w="110" w:type="dxa"/>
              <w:left w:w="160" w:type="dxa"/>
              <w:bottom w:w="110" w:type="dxa"/>
              <w:right w:w="160" w:type="dxa"/>
            </w:tcMar>
            <w:vAlign w:val="center"/>
          </w:tcPr>
          <w:p>
            <w:pPr>
              <w:spacing w:before="0" w:after="0" w:line="288" w:lineRule="auto"/>
            </w:pPr>
            <w:r/>
            <w:r>
              <w:rPr>
                <w:b/>
                <w:sz w:val="20"/>
              </w:rPr>
              <w:t>30</w:t>
            </w:r>
          </w:p>
        </w:tc>
        <w:tc>
          <w:tcPr>
            <w:tcW w:type="dxa" w:w="3456"/>
            <w:tcMar>
              <w:top w:w="110" w:type="dxa"/>
              <w:left w:w="160" w:type="dxa"/>
              <w:bottom w:w="110" w:type="dxa"/>
              <w:right w:w="160" w:type="dxa"/>
            </w:tcMar>
            <w:vAlign w:val="center"/>
          </w:tcPr>
          <w:p>
            <w:pPr>
              <w:spacing w:before="0" w:after="0" w:line="288" w:lineRule="auto"/>
            </w:pPr>
            <w:r/>
            <w:r>
              <w:rPr>
                <w:sz w:val="20"/>
              </w:rPr>
              <w:t>Macro recession</w:t>
            </w:r>
          </w:p>
        </w:tc>
        <w:tc>
          <w:tcPr>
            <w:tcW w:type="dxa" w:w="3888"/>
            <w:tcMar>
              <w:top w:w="110" w:type="dxa"/>
              <w:left w:w="160" w:type="dxa"/>
              <w:bottom w:w="110" w:type="dxa"/>
              <w:right w:w="160" w:type="dxa"/>
            </w:tcMar>
            <w:vAlign w:val="center"/>
          </w:tcPr>
          <w:p>
            <w:pPr>
              <w:spacing w:before="0" w:after="0" w:line="288" w:lineRule="auto"/>
            </w:pPr>
            <w:r/>
            <w:r>
              <w:rPr>
                <w:sz w:val="20"/>
              </w:rPr>
              <w:t>Customer churn rate x 1.5 for 4 months</w:t>
            </w:r>
          </w:p>
        </w:tc>
      </w:tr>
    </w:tbl>
    <w:p/>
    <w:p>
      <w:pPr>
        <w:spacing w:before="240" w:after="80" w:line="276" w:lineRule="auto"/>
      </w:pPr>
      <w:r>
        <w:rPr>
          <w:b/>
          <w:color w:val="0F172A"/>
          <w:sz w:val="24"/>
        </w:rPr>
        <w:t>Era detection</w:t>
      </w:r>
    </w:p>
    <w:p>
      <w:pPr>
        <w:spacing w:before="0" w:after="80" w:line="348" w:lineRule="auto"/>
      </w:pPr>
      <w:r>
        <w:rPr>
          <w:b w:val="0"/>
          <w:i w:val="0"/>
          <w:sz w:val="22"/>
        </w:rPr>
        <w:t>The simulation tracks three eras: bootstrap (months 0-11), growth (triggered by revenue &gt; $5M or month &gt;= 12), and maturity (revenue &gt; $50M or month &gt;= 36). Some mechanics behave differently per era: the bootstrap satisfaction grace, for example, only applies in the bootstrap era.</w:t>
      </w:r>
    </w:p>
    <w:p>
      <w:r>
        <w:br w:type="page"/>
      </w:r>
    </w:p>
    <w:p>
      <w:pPr>
        <w:spacing w:before="360" w:after="120" w:line="264" w:lineRule="auto"/>
        <w:pBdr>
          <w:left w:val="single" w:sz="24" w:space="10" w:color="0F172A"/>
        </w:pBdr>
      </w:pPr>
      <w:r>
        <w:rPr>
          <w:b/>
          <w:color w:val="0F172A"/>
          <w:sz w:val="30"/>
        </w:rPr>
        <w:t xml:space="preserve">  8. Composite scoring methodology</w:t>
      </w:r>
    </w:p>
    <w:p>
      <w:pPr>
        <w:spacing w:before="0" w:after="200" w:line="348" w:lineRule="auto"/>
      </w:pPr>
      <w:r>
        <w:rPr>
          <w:b w:val="0"/>
          <w:i w:val="0"/>
          <w:sz w:val="22"/>
        </w:rPr>
        <w:t>Every Monte Carlo run produces a composite score in [0, 1] computed as a weighted average of nine sub-scores. The weights were chosen to balance concerns that any reasonable analyst would test: does the system retain operators (retention), is it stable under noise (stability), does it earn enough money (revenue), is it fair (gini), does it produce real qualified labor (qualified ops), is the work good (quality), do the validators do their job (validator integrity), is the hardware ROI sensible (node ROI), and is capacity used (utilization).</w:t>
      </w:r>
    </w:p>
    <w:p>
      <w:pPr>
        <w:spacing w:before="160" w:after="80" w:line="300" w:lineRule="auto"/>
        <w:jc w:val="center"/>
      </w:pPr>
      <w:r>
        <w:drawing>
          <wp:inline xmlns:a="http://schemas.openxmlformats.org/drawingml/2006/main" xmlns:pic="http://schemas.openxmlformats.org/drawingml/2006/picture">
            <wp:extent cx="5852160" cy="2907336"/>
            <wp:docPr id="2" name="Picture 2"/>
            <wp:cNvGraphicFramePr>
              <a:graphicFrameLocks noChangeAspect="1"/>
            </wp:cNvGraphicFramePr>
            <a:graphic>
              <a:graphicData uri="http://schemas.openxmlformats.org/drawingml/2006/picture">
                <pic:pic>
                  <pic:nvPicPr>
                    <pic:cNvPr id="0" name="chart_3_scoring.png"/>
                    <pic:cNvPicPr/>
                  </pic:nvPicPr>
                  <pic:blipFill>
                    <a:blip r:embed="rId10"/>
                    <a:stretch>
                      <a:fillRect/>
                    </a:stretch>
                  </pic:blipFill>
                  <pic:spPr>
                    <a:xfrm>
                      <a:off x="0" y="0"/>
                      <a:ext cx="5852160" cy="2907336"/>
                    </a:xfrm>
                    <a:prstGeom prst="rect"/>
                  </pic:spPr>
                </pic:pic>
              </a:graphicData>
            </a:graphic>
          </wp:inline>
        </w:drawing>
      </w:r>
    </w:p>
    <w:p>
      <w:pPr>
        <w:spacing w:before="0" w:after="240" w:line="288" w:lineRule="auto"/>
        <w:jc w:val="center"/>
      </w:pPr>
      <w:r>
        <w:rPr>
          <w:i/>
          <w:color w:val="475569"/>
          <w:sz w:val="18"/>
        </w:rPr>
        <w:t>Figure: Composite score weights. Three sub-scores are weighted 15% each (retention, revenue, qualified ops); five are 10%; capacity utilization is 5%.</w:t>
      </w:r>
    </w:p>
    <w:tbl>
      <w:tblPr>
        <w:tblW w:type="auto" w:w="0"/>
        <w:tblLayout w:type="fixed"/>
        <w:tblLook w:firstColumn="1" w:firstRow="1" w:lastColumn="0" w:lastRow="0" w:noHBand="0" w:noVBand="1" w:val="04A0"/>
      </w:tblPr>
      <w:tblGrid>
        <w:gridCol w:w="9518"/>
      </w:tblGrid>
      <w:tr>
        <w:tc>
          <w:tcPr>
            <w:tcW w:type="dxa" w:w="9518"/>
            <w:shd w:val="clear" w:color="auto" w:fill="F8FAFC"/>
            <w:tcMar>
              <w:top w:w="200" w:type="dxa"/>
              <w:left w:w="240" w:type="dxa"/>
              <w:bottom w:w="200" w:type="dxa"/>
              <w:right w:w="240" w:type="dxa"/>
            </w:tcMar>
            <w:tcBorders>
              <w:left w:val="single" w:sz="32" w:color="EF4444"/>
            </w:tcBorders>
          </w:tcPr>
          <w:p>
            <w:pPr>
              <w:spacing w:before="0" w:after="80" w:line="288" w:lineRule="auto"/>
            </w:pPr>
            <w:r/>
            <w:r>
              <w:rPr>
                <w:b/>
                <w:color w:val="EF4444"/>
                <w:sz w:val="22"/>
              </w:rPr>
              <w:t>Important: the revenue sub-score is capped</w:t>
            </w:r>
          </w:p>
          <w:p>
            <w:pPr>
              <w:spacing w:before="0" w:after="0" w:line="324" w:lineRule="auto"/>
            </w:pPr>
            <w:r>
              <w:rPr>
                <w:color w:val="0F172A"/>
                <w:sz w:val="20"/>
              </w:rPr>
              <w:t>The revenue sub-score saturates at $50M cumulative revenue. Any run that exceeds $50M scores 1.0 on the revenue component, regardless of how much more it earned. This is a deliberate design choice (we did not want revenue to dominate the composite) but it means two configurations can score identically on the composite while having very different actual revenue. Always look at the cumulative revenue figure separately - this is exactly what makes the v4 no_personas vs v3 winner comparison look closer than it actually is.</w:t>
            </w:r>
          </w:p>
        </w:tc>
      </w:tr>
    </w:tbl>
    <w:p/>
    <w:p>
      <w:pPr>
        <w:spacing w:before="360" w:after="120" w:line="264" w:lineRule="auto"/>
        <w:pBdr>
          <w:left w:val="single" w:sz="24" w:space="10" w:color="0F172A"/>
        </w:pBdr>
      </w:pPr>
      <w:r>
        <w:rPr>
          <w:b/>
          <w:color w:val="0F172A"/>
          <w:sz w:val="30"/>
        </w:rPr>
        <w:t xml:space="preserve">  9. Monte Carlo and experimental design</w:t>
      </w:r>
    </w:p>
    <w:p>
      <w:pPr>
        <w:spacing w:before="0" w:after="160" w:line="348" w:lineRule="auto"/>
      </w:pPr>
      <w:r>
        <w:rPr>
          <w:b w:val="0"/>
          <w:i w:val="0"/>
          <w:sz w:val="22"/>
        </w:rPr>
        <w:t>Each result cell in this document is the mean of multiple Monte Carlo runs with reset seeds, run on the same configuration. We ran:</w:t>
      </w:r>
    </w:p>
    <w:p>
      <w:pPr>
        <w:pStyle w:val="ListBullet"/>
        <w:spacing w:before="0" w:after="60" w:line="312" w:lineRule="auto"/>
      </w:pPr>
      <w:r>
        <w:rPr>
          <w:b/>
        </w:rPr>
        <w:t>Pillar ablation:</w:t>
      </w:r>
      <w:r>
        <w:t xml:space="preserve"> 5 configurations (v3 winner, v4 baseline, v4 no_personas, v4 no_customers, v4 no_macro), each at MC=2.</w:t>
      </w:r>
    </w:p>
    <w:p>
      <w:pPr>
        <w:pStyle w:val="ListBullet"/>
        <w:spacing w:before="0" w:after="60" w:line="312" w:lineRule="auto"/>
      </w:pPr>
      <w:r>
        <w:rPr>
          <w:b/>
        </w:rPr>
        <w:t>Stress tests:</w:t>
      </w:r>
      <w:r>
        <w:t xml:space="preserve"> 4 scenarios (biggest customer churn, segment collapse, drought, composite shock), each at MC=2.</w:t>
      </w:r>
    </w:p>
    <w:p>
      <w:pPr>
        <w:pStyle w:val="ListBullet"/>
        <w:spacing w:before="0" w:after="60" w:line="312" w:lineRule="auto"/>
      </w:pPr>
      <w:r>
        <w:rPr>
          <w:b/>
        </w:rPr>
        <w:t>Tuned persona iteration:</w:t>
      </w:r>
      <w:r>
        <w:t xml:space="preserve"> Same as ablation but with retuned persona share (40/40/15/5) and adjusted aggression, MC=2.</w:t>
      </w:r>
    </w:p>
    <w:p>
      <w:pPr>
        <w:pStyle w:val="ListBullet"/>
        <w:spacing w:before="0" w:after="60" w:line="312" w:lineRule="auto"/>
      </w:pPr>
      <w:r>
        <w:rPr>
          <w:b/>
        </w:rPr>
        <w:t>Long horizon:</w:t>
      </w:r>
      <w:r>
        <w:t xml:space="preserve"> 3 configurations (v3 winner, v4 baseline, v4 no_personas) at the 60-month horizon, MC=2.</w:t>
      </w:r>
    </w:p>
    <w:p>
      <w:pPr>
        <w:spacing w:before="0" w:after="80" w:line="348" w:lineRule="auto"/>
      </w:pPr>
      <w:r>
        <w:rPr>
          <w:b w:val="0"/>
          <w:i w:val="0"/>
          <w:sz w:val="22"/>
        </w:rPr>
        <w:t>MC=2 is intentionally light: most of the variance we care about lives between configurations, not between seeds within a configuration. The ablation and stress tables include standard deviations so readers can see where the inter-seed variance is high (notably the biggest_customer_churn stress, where the result depends heavily on which customer happened to be largest in that seed).</w:t>
      </w:r>
    </w:p>
    <w:p>
      <w:r>
        <w:br w:type="page"/>
      </w:r>
    </w:p>
    <w:p>
      <w:pPr>
        <w:spacing w:before="80" w:after="240" w:line="264" w:lineRule="auto"/>
        <w:pBdr>
          <w:bottom w:val="single" w:sz="8" w:space="6" w:color="0F172A"/>
        </w:pBdr>
      </w:pPr>
      <w:r>
        <w:rPr>
          <w:b/>
          <w:color w:val="0F172A"/>
          <w:sz w:val="44"/>
        </w:rPr>
        <w:t>Part III  -  Results</w:t>
      </w:r>
    </w:p>
    <w:p>
      <w:pPr>
        <w:spacing w:before="360" w:after="120" w:line="264" w:lineRule="auto"/>
        <w:pBdr>
          <w:left w:val="single" w:sz="24" w:space="10" w:color="0F172A"/>
        </w:pBdr>
      </w:pPr>
      <w:r>
        <w:rPr>
          <w:b/>
          <w:color w:val="0F172A"/>
          <w:sz w:val="30"/>
        </w:rPr>
        <w:t xml:space="preserve">  10. The decisive finding</w:t>
      </w:r>
    </w:p>
    <w:p>
      <w:pPr>
        <w:spacing w:before="0" w:after="200" w:line="348" w:lineRule="auto"/>
      </w:pPr>
      <w:r>
        <w:rPr>
          <w:b w:val="0"/>
          <w:i w:val="0"/>
          <w:sz w:val="22"/>
        </w:rPr>
        <w:t>v4 with customers and macro pillars on (and personas reverted to v3 mechanics) generates 5x the cumulative revenue of the v3 reference at the 60-month horizon, with effectively identical T4+ operator counts. This is the single most important result in this report.</w:t>
      </w:r>
    </w:p>
    <w:p>
      <w:pPr>
        <w:spacing w:before="160" w:after="80" w:line="300" w:lineRule="auto"/>
        <w:jc w:val="center"/>
      </w:pPr>
      <w:r>
        <w:drawing>
          <wp:inline xmlns:a="http://schemas.openxmlformats.org/drawingml/2006/main" xmlns:pic="http://schemas.openxmlformats.org/drawingml/2006/picture">
            <wp:extent cx="5852160" cy="3358591"/>
            <wp:docPr id="3" name="Picture 3"/>
            <wp:cNvGraphicFramePr>
              <a:graphicFrameLocks noChangeAspect="1"/>
            </wp:cNvGraphicFramePr>
            <a:graphic>
              <a:graphicData uri="http://schemas.openxmlformats.org/drawingml/2006/picture">
                <pic:pic>
                  <pic:nvPicPr>
                    <pic:cNvPr id="0" name="chart_1_headline.png"/>
                    <pic:cNvPicPr/>
                  </pic:nvPicPr>
                  <pic:blipFill>
                    <a:blip r:embed="rId11"/>
                    <a:stretch>
                      <a:fillRect/>
                    </a:stretch>
                  </pic:blipFill>
                  <pic:spPr>
                    <a:xfrm>
                      <a:off x="0" y="0"/>
                      <a:ext cx="5852160" cy="3358591"/>
                    </a:xfrm>
                    <a:prstGeom prst="rect"/>
                  </pic:spPr>
                </pic:pic>
              </a:graphicData>
            </a:graphic>
          </wp:inline>
        </w:drawing>
      </w:r>
    </w:p>
    <w:p>
      <w:pPr>
        <w:spacing w:before="0" w:after="240" w:line="288" w:lineRule="auto"/>
        <w:jc w:val="center"/>
      </w:pPr>
      <w:r>
        <w:rPr>
          <w:i/>
          <w:color w:val="475569"/>
          <w:sz w:val="18"/>
        </w:rPr>
        <w:t>Figure: 60-month cumulative revenue across the three reference configurations.</w:t>
      </w:r>
    </w:p>
    <w:tbl>
      <w:tblPr>
        <w:tblW w:type="auto" w:w="0"/>
        <w:tblLayout w:type="fixed"/>
        <w:tblLook w:firstColumn="1" w:firstRow="1" w:lastColumn="0" w:lastRow="0" w:noHBand="0" w:noVBand="1" w:val="04A0"/>
      </w:tblPr>
      <w:tblGrid>
        <w:gridCol w:w="1904"/>
        <w:gridCol w:w="1904"/>
        <w:gridCol w:w="1904"/>
        <w:gridCol w:w="1904"/>
        <w:gridCol w:w="1904"/>
      </w:tblGrid>
      <w:tr>
        <w:tc>
          <w:tcPr>
            <w:tcW w:type="dxa" w:w="1904"/>
            <w:shd w:val="clear" w:color="auto" w:fill="0F172A"/>
            <w:tcMar>
              <w:top w:w="120" w:type="dxa"/>
              <w:left w:w="160" w:type="dxa"/>
              <w:bottom w:w="120" w:type="dxa"/>
              <w:right w:w="160" w:type="dxa"/>
            </w:tcMar>
            <w:vAlign w:val="center"/>
          </w:tcPr>
          <w:p>
            <w:pPr>
              <w:spacing w:before="0" w:after="0" w:line="264" w:lineRule="auto"/>
            </w:pPr>
            <w:r/>
            <w:r>
              <w:rPr>
                <w:b/>
                <w:color w:val="FFFFFF"/>
                <w:sz w:val="20"/>
              </w:rPr>
              <w:t>Configuration</w:t>
            </w:r>
          </w:p>
        </w:tc>
        <w:tc>
          <w:tcPr>
            <w:tcW w:type="dxa" w:w="1904"/>
            <w:shd w:val="clear" w:color="auto" w:fill="0F172A"/>
            <w:tcMar>
              <w:top w:w="120" w:type="dxa"/>
              <w:left w:w="160" w:type="dxa"/>
              <w:bottom w:w="120" w:type="dxa"/>
              <w:right w:w="160" w:type="dxa"/>
            </w:tcMar>
            <w:vAlign w:val="center"/>
          </w:tcPr>
          <w:p>
            <w:pPr>
              <w:spacing w:before="0" w:after="0" w:line="264" w:lineRule="auto"/>
            </w:pPr>
            <w:r/>
            <w:r>
              <w:rPr>
                <w:b/>
                <w:color w:val="FFFFFF"/>
                <w:sz w:val="20"/>
              </w:rPr>
              <w:t>Cum. Revenue</w:t>
            </w:r>
          </w:p>
        </w:tc>
        <w:tc>
          <w:tcPr>
            <w:tcW w:type="dxa" w:w="1904"/>
            <w:shd w:val="clear" w:color="auto" w:fill="0F172A"/>
            <w:tcMar>
              <w:top w:w="120" w:type="dxa"/>
              <w:left w:w="160" w:type="dxa"/>
              <w:bottom w:w="120" w:type="dxa"/>
              <w:right w:w="160" w:type="dxa"/>
            </w:tcMar>
            <w:vAlign w:val="center"/>
          </w:tcPr>
          <w:p>
            <w:pPr>
              <w:spacing w:before="0" w:after="0" w:line="264" w:lineRule="auto"/>
            </w:pPr>
            <w:r/>
            <w:r>
              <w:rPr>
                <w:b/>
                <w:color w:val="FFFFFF"/>
                <w:sz w:val="20"/>
              </w:rPr>
              <w:t>T4+ Operators</w:t>
            </w:r>
          </w:p>
        </w:tc>
        <w:tc>
          <w:tcPr>
            <w:tcW w:type="dxa" w:w="1904"/>
            <w:shd w:val="clear" w:color="auto" w:fill="0F172A"/>
            <w:tcMar>
              <w:top w:w="120" w:type="dxa"/>
              <w:left w:w="160" w:type="dxa"/>
              <w:bottom w:w="120" w:type="dxa"/>
              <w:right w:w="160" w:type="dxa"/>
            </w:tcMar>
            <w:vAlign w:val="center"/>
          </w:tcPr>
          <w:p>
            <w:pPr>
              <w:spacing w:before="0" w:after="0" w:line="264" w:lineRule="auto"/>
            </w:pPr>
            <w:r/>
            <w:r>
              <w:rPr>
                <w:b/>
                <w:color w:val="FFFFFF"/>
                <w:sz w:val="20"/>
              </w:rPr>
              <w:t>Composite</w:t>
            </w:r>
          </w:p>
        </w:tc>
        <w:tc>
          <w:tcPr>
            <w:tcW w:type="dxa" w:w="1904"/>
            <w:shd w:val="clear" w:color="auto" w:fill="0F172A"/>
            <w:tcMar>
              <w:top w:w="120" w:type="dxa"/>
              <w:left w:w="160" w:type="dxa"/>
              <w:bottom w:w="120" w:type="dxa"/>
              <w:right w:w="160" w:type="dxa"/>
            </w:tcMar>
            <w:vAlign w:val="center"/>
          </w:tcPr>
          <w:p>
            <w:pPr>
              <w:spacing w:before="0" w:after="0" w:line="264" w:lineRule="auto"/>
            </w:pPr>
            <w:r/>
            <w:r>
              <w:rPr>
                <w:b/>
                <w:color w:val="FFFFFF"/>
                <w:sz w:val="20"/>
              </w:rPr>
              <w:t>NRR</w:t>
            </w:r>
          </w:p>
        </w:tc>
      </w:tr>
      <w:tr>
        <w:tc>
          <w:tcPr>
            <w:tcW w:type="dxa" w:w="1904"/>
            <w:tcMar>
              <w:top w:w="110" w:type="dxa"/>
              <w:left w:w="160" w:type="dxa"/>
              <w:bottom w:w="110" w:type="dxa"/>
              <w:right w:w="160" w:type="dxa"/>
            </w:tcMar>
            <w:vAlign w:val="center"/>
          </w:tcPr>
          <w:p>
            <w:pPr>
              <w:spacing w:before="0" w:after="0" w:line="288" w:lineRule="auto"/>
            </w:pPr>
            <w:r/>
            <w:r>
              <w:rPr>
                <w:b/>
                <w:sz w:val="20"/>
              </w:rPr>
              <w:t>v3 winner (reference)</w:t>
            </w:r>
          </w:p>
        </w:tc>
        <w:tc>
          <w:tcPr>
            <w:tcW w:type="dxa" w:w="1904"/>
            <w:tcMar>
              <w:top w:w="110" w:type="dxa"/>
              <w:left w:w="160" w:type="dxa"/>
              <w:bottom w:w="110" w:type="dxa"/>
              <w:right w:w="160" w:type="dxa"/>
            </w:tcMar>
            <w:vAlign w:val="center"/>
          </w:tcPr>
          <w:p>
            <w:pPr>
              <w:spacing w:before="0" w:after="0" w:line="288" w:lineRule="auto"/>
            </w:pPr>
            <w:r/>
            <w:r>
              <w:rPr>
                <w:sz w:val="20"/>
              </w:rPr>
              <w:t>$79M</w:t>
            </w:r>
          </w:p>
        </w:tc>
        <w:tc>
          <w:tcPr>
            <w:tcW w:type="dxa" w:w="1904"/>
            <w:tcMar>
              <w:top w:w="110" w:type="dxa"/>
              <w:left w:w="160" w:type="dxa"/>
              <w:bottom w:w="110" w:type="dxa"/>
              <w:right w:w="160" w:type="dxa"/>
            </w:tcMar>
            <w:vAlign w:val="center"/>
          </w:tcPr>
          <w:p>
            <w:pPr>
              <w:spacing w:before="0" w:after="0" w:line="288" w:lineRule="auto"/>
            </w:pPr>
            <w:r/>
            <w:r>
              <w:rPr>
                <w:sz w:val="20"/>
              </w:rPr>
              <w:t>37,328</w:t>
            </w:r>
          </w:p>
        </w:tc>
        <w:tc>
          <w:tcPr>
            <w:tcW w:type="dxa" w:w="1904"/>
            <w:tcMar>
              <w:top w:w="110" w:type="dxa"/>
              <w:left w:w="160" w:type="dxa"/>
              <w:bottom w:w="110" w:type="dxa"/>
              <w:right w:w="160" w:type="dxa"/>
            </w:tcMar>
            <w:vAlign w:val="center"/>
          </w:tcPr>
          <w:p>
            <w:pPr>
              <w:spacing w:before="0" w:after="0" w:line="288" w:lineRule="auto"/>
            </w:pPr>
            <w:r/>
            <w:r>
              <w:rPr>
                <w:sz w:val="20"/>
              </w:rPr>
              <w:t>0.838</w:t>
            </w:r>
          </w:p>
        </w:tc>
        <w:tc>
          <w:tcPr>
            <w:tcW w:type="dxa" w:w="1904"/>
            <w:tcMar>
              <w:top w:w="110" w:type="dxa"/>
              <w:left w:w="160" w:type="dxa"/>
              <w:bottom w:w="110" w:type="dxa"/>
              <w:right w:w="160" w:type="dxa"/>
            </w:tcMar>
            <w:vAlign w:val="center"/>
          </w:tcPr>
          <w:p>
            <w:pPr>
              <w:spacing w:before="0" w:after="0" w:line="288" w:lineRule="auto"/>
            </w:pPr>
            <w:r/>
            <w:r>
              <w:rPr>
                <w:sz w:val="20"/>
              </w:rPr>
              <w:t>n/a</w:t>
            </w:r>
          </w:p>
        </w:tc>
      </w:tr>
      <w:tr>
        <w:tc>
          <w:tcPr>
            <w:tcW w:type="dxa" w:w="1904"/>
            <w:tcMar>
              <w:top w:w="110" w:type="dxa"/>
              <w:left w:w="160" w:type="dxa"/>
              <w:bottom w:w="110" w:type="dxa"/>
              <w:right w:w="160" w:type="dxa"/>
            </w:tcMar>
            <w:shd w:val="clear" w:color="auto" w:fill="F1F5F9"/>
            <w:vAlign w:val="center"/>
          </w:tcPr>
          <w:p>
            <w:pPr>
              <w:spacing w:before="0" w:after="0" w:line="288" w:lineRule="auto"/>
            </w:pPr>
            <w:r/>
            <w:r>
              <w:rPr>
                <w:b/>
                <w:sz w:val="20"/>
              </w:rPr>
              <w:t>v4 baseline (all 3 pillars)</w:t>
            </w:r>
          </w:p>
        </w:tc>
        <w:tc>
          <w:tcPr>
            <w:tcW w:type="dxa" w:w="1904"/>
            <w:tcMar>
              <w:top w:w="110" w:type="dxa"/>
              <w:left w:w="160" w:type="dxa"/>
              <w:bottom w:w="110" w:type="dxa"/>
              <w:right w:w="160" w:type="dxa"/>
            </w:tcMar>
            <w:shd w:val="clear" w:color="auto" w:fill="F1F5F9"/>
            <w:vAlign w:val="center"/>
          </w:tcPr>
          <w:p>
            <w:pPr>
              <w:spacing w:before="0" w:after="0" w:line="288" w:lineRule="auto"/>
            </w:pPr>
            <w:r/>
            <w:r>
              <w:rPr>
                <w:sz w:val="20"/>
              </w:rPr>
              <w:t>$122M</w:t>
            </w:r>
          </w:p>
        </w:tc>
        <w:tc>
          <w:tcPr>
            <w:tcW w:type="dxa" w:w="1904"/>
            <w:tcMar>
              <w:top w:w="110" w:type="dxa"/>
              <w:left w:w="160" w:type="dxa"/>
              <w:bottom w:w="110" w:type="dxa"/>
              <w:right w:w="160" w:type="dxa"/>
            </w:tcMar>
            <w:shd w:val="clear" w:color="auto" w:fill="F1F5F9"/>
            <w:vAlign w:val="center"/>
          </w:tcPr>
          <w:p>
            <w:pPr>
              <w:spacing w:before="0" w:after="0" w:line="288" w:lineRule="auto"/>
            </w:pPr>
            <w:r/>
            <w:r>
              <w:rPr>
                <w:sz w:val="20"/>
              </w:rPr>
              <w:t>6,108</w:t>
            </w:r>
          </w:p>
        </w:tc>
        <w:tc>
          <w:tcPr>
            <w:tcW w:type="dxa" w:w="1904"/>
            <w:tcMar>
              <w:top w:w="110" w:type="dxa"/>
              <w:left w:w="160" w:type="dxa"/>
              <w:bottom w:w="110" w:type="dxa"/>
              <w:right w:w="160" w:type="dxa"/>
            </w:tcMar>
            <w:shd w:val="clear" w:color="auto" w:fill="F1F5F9"/>
            <w:vAlign w:val="center"/>
          </w:tcPr>
          <w:p>
            <w:pPr>
              <w:spacing w:before="0" w:after="0" w:line="288" w:lineRule="auto"/>
            </w:pPr>
            <w:r/>
            <w:r>
              <w:rPr>
                <w:sz w:val="20"/>
              </w:rPr>
              <w:t>0.783</w:t>
            </w:r>
          </w:p>
        </w:tc>
        <w:tc>
          <w:tcPr>
            <w:tcW w:type="dxa" w:w="1904"/>
            <w:tcMar>
              <w:top w:w="110" w:type="dxa"/>
              <w:left w:w="160" w:type="dxa"/>
              <w:bottom w:w="110" w:type="dxa"/>
              <w:right w:w="160" w:type="dxa"/>
            </w:tcMar>
            <w:shd w:val="clear" w:color="auto" w:fill="F1F5F9"/>
            <w:vAlign w:val="center"/>
          </w:tcPr>
          <w:p>
            <w:pPr>
              <w:spacing w:before="0" w:after="0" w:line="288" w:lineRule="auto"/>
            </w:pPr>
            <w:r/>
            <w:r>
              <w:rPr>
                <w:sz w:val="20"/>
              </w:rPr>
              <w:t>0.25</w:t>
            </w:r>
          </w:p>
        </w:tc>
      </w:tr>
      <w:tr>
        <w:tc>
          <w:tcPr>
            <w:tcW w:type="dxa" w:w="1904"/>
            <w:tcMar>
              <w:top w:w="110" w:type="dxa"/>
              <w:left w:w="160" w:type="dxa"/>
              <w:bottom w:w="110" w:type="dxa"/>
              <w:right w:w="160" w:type="dxa"/>
            </w:tcMar>
            <w:vAlign w:val="center"/>
          </w:tcPr>
          <w:p>
            <w:pPr>
              <w:spacing w:before="0" w:after="0" w:line="288" w:lineRule="auto"/>
            </w:pPr>
            <w:r/>
            <w:r>
              <w:rPr>
                <w:b/>
                <w:sz w:val="20"/>
              </w:rPr>
              <w:t>v4 no_personas (winner)</w:t>
            </w:r>
          </w:p>
        </w:tc>
        <w:tc>
          <w:tcPr>
            <w:tcW w:type="dxa" w:w="1904"/>
            <w:tcMar>
              <w:top w:w="110" w:type="dxa"/>
              <w:left w:w="160" w:type="dxa"/>
              <w:bottom w:w="110" w:type="dxa"/>
              <w:right w:w="160" w:type="dxa"/>
            </w:tcMar>
            <w:vAlign w:val="center"/>
          </w:tcPr>
          <w:p>
            <w:pPr>
              <w:spacing w:before="0" w:after="0" w:line="288" w:lineRule="auto"/>
            </w:pPr>
            <w:r/>
            <w:r>
              <w:rPr>
                <w:sz w:val="20"/>
              </w:rPr>
              <w:t>$389M</w:t>
            </w:r>
          </w:p>
        </w:tc>
        <w:tc>
          <w:tcPr>
            <w:tcW w:type="dxa" w:w="1904"/>
            <w:tcMar>
              <w:top w:w="110" w:type="dxa"/>
              <w:left w:w="160" w:type="dxa"/>
              <w:bottom w:w="110" w:type="dxa"/>
              <w:right w:w="160" w:type="dxa"/>
            </w:tcMar>
            <w:vAlign w:val="center"/>
          </w:tcPr>
          <w:p>
            <w:pPr>
              <w:spacing w:before="0" w:after="0" w:line="288" w:lineRule="auto"/>
            </w:pPr>
            <w:r/>
            <w:r>
              <w:rPr>
                <w:sz w:val="20"/>
              </w:rPr>
              <w:t>36,748</w:t>
            </w:r>
          </w:p>
        </w:tc>
        <w:tc>
          <w:tcPr>
            <w:tcW w:type="dxa" w:w="1904"/>
            <w:tcMar>
              <w:top w:w="110" w:type="dxa"/>
              <w:left w:w="160" w:type="dxa"/>
              <w:bottom w:w="110" w:type="dxa"/>
              <w:right w:w="160" w:type="dxa"/>
            </w:tcMar>
            <w:vAlign w:val="center"/>
          </w:tcPr>
          <w:p>
            <w:pPr>
              <w:spacing w:before="0" w:after="0" w:line="288" w:lineRule="auto"/>
            </w:pPr>
            <w:r/>
            <w:r>
              <w:rPr>
                <w:sz w:val="20"/>
              </w:rPr>
              <w:t>0.811</w:t>
            </w:r>
          </w:p>
        </w:tc>
        <w:tc>
          <w:tcPr>
            <w:tcW w:type="dxa" w:w="1904"/>
            <w:tcMar>
              <w:top w:w="110" w:type="dxa"/>
              <w:left w:w="160" w:type="dxa"/>
              <w:bottom w:w="110" w:type="dxa"/>
              <w:right w:w="160" w:type="dxa"/>
            </w:tcMar>
            <w:vAlign w:val="center"/>
          </w:tcPr>
          <w:p>
            <w:pPr>
              <w:spacing w:before="0" w:after="0" w:line="288" w:lineRule="auto"/>
            </w:pPr>
            <w:r/>
            <w:r>
              <w:rPr>
                <w:sz w:val="20"/>
              </w:rPr>
              <w:t>0.56</w:t>
            </w:r>
          </w:p>
        </w:tc>
      </w:tr>
    </w:tbl>
    <w:p/>
    <w:tbl>
      <w:tblPr>
        <w:tblW w:type="auto" w:w="0"/>
        <w:tblLayout w:type="fixed"/>
        <w:tblLook w:firstColumn="1" w:firstRow="1" w:lastColumn="0" w:lastRow="0" w:noHBand="0" w:noVBand="1" w:val="04A0"/>
      </w:tblPr>
      <w:tblGrid>
        <w:gridCol w:w="9518"/>
      </w:tblGrid>
      <w:tr>
        <w:tc>
          <w:tcPr>
            <w:tcW w:type="dxa" w:w="9518"/>
            <w:shd w:val="clear" w:color="auto" w:fill="F8FAFC"/>
            <w:tcMar>
              <w:top w:w="200" w:type="dxa"/>
              <w:left w:w="240" w:type="dxa"/>
              <w:bottom w:w="200" w:type="dxa"/>
              <w:right w:w="240" w:type="dxa"/>
            </w:tcMar>
            <w:tcBorders>
              <w:left w:val="single" w:sz="32" w:color="10B981"/>
            </w:tcBorders>
          </w:tcPr>
          <w:p>
            <w:pPr>
              <w:spacing w:before="0" w:after="80" w:line="288" w:lineRule="auto"/>
            </w:pPr>
            <w:r/>
            <w:r>
              <w:rPr>
                <w:b/>
                <w:color w:val="10B981"/>
                <w:sz w:val="22"/>
              </w:rPr>
              <w:t>Why the composite scores look closer than the revenue gap</w:t>
            </w:r>
          </w:p>
          <w:p>
            <w:pPr>
              <w:spacing w:before="0" w:after="0" w:line="324" w:lineRule="auto"/>
            </w:pPr>
            <w:r>
              <w:rPr>
                <w:color w:val="0F172A"/>
                <w:sz w:val="20"/>
              </w:rPr>
              <w:t>The revenue sub-score saturates at $50M cumulative. Both v3 winner ($79M) and v4 no_personas ($389M) score 1.0 on revenue. The composite difference (0.838 vs 0.811) reflects a small T4+ population gap, not the actual economic gap. The 5x revenue ratio is the real comparison.</w:t>
            </w:r>
          </w:p>
        </w:tc>
      </w:tr>
    </w:tbl>
    <w:p/>
    <w:p>
      <w:pPr>
        <w:spacing w:before="360" w:after="120" w:line="264" w:lineRule="auto"/>
        <w:pBdr>
          <w:left w:val="single" w:sz="24" w:space="10" w:color="0F172A"/>
        </w:pBdr>
      </w:pPr>
      <w:r>
        <w:rPr>
          <w:b/>
          <w:color w:val="0F172A"/>
          <w:sz w:val="30"/>
        </w:rPr>
        <w:t xml:space="preserve">  11. Pillar ablation</w:t>
      </w:r>
    </w:p>
    <w:p>
      <w:pPr>
        <w:spacing w:before="0" w:after="200" w:line="348" w:lineRule="auto"/>
      </w:pPr>
      <w:r>
        <w:rPr>
          <w:b w:val="0"/>
          <w:i w:val="0"/>
          <w:sz w:val="22"/>
        </w:rPr>
        <w:t>Five-cell ablation at the 36-month horizon. The 'no personas' cell beats the v3 reference on both composite and revenue. Removing customers or removing macro both degrade the system. The personas pillar costs roughly 0.24 of composite score because 60% of operators are modeled as Casual and rarely grind to T4+ - this is behavioral realism, not a design defect, and we discuss the implication in section 16.</w:t>
      </w:r>
    </w:p>
    <w:p>
      <w:pPr>
        <w:spacing w:before="160" w:after="80" w:line="300" w:lineRule="auto"/>
        <w:jc w:val="center"/>
      </w:pPr>
      <w:r>
        <w:drawing>
          <wp:inline xmlns:a="http://schemas.openxmlformats.org/drawingml/2006/main" xmlns:pic="http://schemas.openxmlformats.org/drawingml/2006/picture">
            <wp:extent cx="6035040" cy="2849008"/>
            <wp:docPr id="4" name="Picture 4"/>
            <wp:cNvGraphicFramePr>
              <a:graphicFrameLocks noChangeAspect="1"/>
            </wp:cNvGraphicFramePr>
            <a:graphic>
              <a:graphicData uri="http://schemas.openxmlformats.org/drawingml/2006/picture">
                <pic:pic>
                  <pic:nvPicPr>
                    <pic:cNvPr id="0" name="chart_4_ablation.png"/>
                    <pic:cNvPicPr/>
                  </pic:nvPicPr>
                  <pic:blipFill>
                    <a:blip r:embed="rId12"/>
                    <a:stretch>
                      <a:fillRect/>
                    </a:stretch>
                  </pic:blipFill>
                  <pic:spPr>
                    <a:xfrm>
                      <a:off x="0" y="0"/>
                      <a:ext cx="6035040" cy="2849008"/>
                    </a:xfrm>
                    <a:prstGeom prst="rect"/>
                  </pic:spPr>
                </pic:pic>
              </a:graphicData>
            </a:graphic>
          </wp:inline>
        </w:drawing>
      </w:r>
    </w:p>
    <w:p>
      <w:pPr>
        <w:spacing w:before="0" w:after="240" w:line="288" w:lineRule="auto"/>
        <w:jc w:val="center"/>
      </w:pPr>
      <w:r>
        <w:rPr>
          <w:i/>
          <w:color w:val="475569"/>
          <w:sz w:val="18"/>
        </w:rPr>
        <w:t>Figure: Composite score and cumulative revenue by ablation cell. Personas pillar trades T4+ count for behavioral realism.</w:t>
      </w:r>
    </w:p>
    <w:tbl>
      <w:tblPr>
        <w:tblW w:type="auto" w:w="0"/>
        <w:tblLayout w:type="fixed"/>
        <w:tblLook w:firstColumn="1" w:firstRow="1" w:lastColumn="0" w:lastRow="0" w:noHBand="0" w:noVBand="1" w:val="04A0"/>
      </w:tblPr>
      <w:tblGrid>
        <w:gridCol w:w="1904"/>
        <w:gridCol w:w="1904"/>
        <w:gridCol w:w="1904"/>
        <w:gridCol w:w="1904"/>
        <w:gridCol w:w="1904"/>
      </w:tblGrid>
      <w:tr>
        <w:tc>
          <w:tcPr>
            <w:tcW w:type="dxa" w:w="1904"/>
            <w:shd w:val="clear" w:color="auto" w:fill="0F172A"/>
            <w:tcMar>
              <w:top w:w="120" w:type="dxa"/>
              <w:left w:w="160" w:type="dxa"/>
              <w:bottom w:w="120" w:type="dxa"/>
              <w:right w:w="160" w:type="dxa"/>
            </w:tcMar>
            <w:vAlign w:val="center"/>
          </w:tcPr>
          <w:p>
            <w:pPr>
              <w:spacing w:before="0" w:after="0" w:line="264" w:lineRule="auto"/>
            </w:pPr>
            <w:r/>
            <w:r>
              <w:rPr>
                <w:b/>
                <w:color w:val="FFFFFF"/>
                <w:sz w:val="20"/>
              </w:rPr>
              <w:t>Cell</w:t>
            </w:r>
          </w:p>
        </w:tc>
        <w:tc>
          <w:tcPr>
            <w:tcW w:type="dxa" w:w="1904"/>
            <w:shd w:val="clear" w:color="auto" w:fill="0F172A"/>
            <w:tcMar>
              <w:top w:w="120" w:type="dxa"/>
              <w:left w:w="160" w:type="dxa"/>
              <w:bottom w:w="120" w:type="dxa"/>
              <w:right w:w="160" w:type="dxa"/>
            </w:tcMar>
            <w:vAlign w:val="center"/>
          </w:tcPr>
          <w:p>
            <w:pPr>
              <w:spacing w:before="0" w:after="0" w:line="264" w:lineRule="auto"/>
            </w:pPr>
            <w:r/>
            <w:r>
              <w:rPr>
                <w:b/>
                <w:color w:val="FFFFFF"/>
                <w:sz w:val="20"/>
              </w:rPr>
              <w:t>Composite (mean +/- std)</w:t>
            </w:r>
          </w:p>
        </w:tc>
        <w:tc>
          <w:tcPr>
            <w:tcW w:type="dxa" w:w="1904"/>
            <w:shd w:val="clear" w:color="auto" w:fill="0F172A"/>
            <w:tcMar>
              <w:top w:w="120" w:type="dxa"/>
              <w:left w:w="160" w:type="dxa"/>
              <w:bottom w:w="120" w:type="dxa"/>
              <w:right w:w="160" w:type="dxa"/>
            </w:tcMar>
            <w:vAlign w:val="center"/>
          </w:tcPr>
          <w:p>
            <w:pPr>
              <w:spacing w:before="0" w:after="0" w:line="264" w:lineRule="auto"/>
            </w:pPr>
            <w:r/>
            <w:r>
              <w:rPr>
                <w:b/>
                <w:color w:val="FFFFFF"/>
                <w:sz w:val="20"/>
              </w:rPr>
              <w:t>Cum. Revenue</w:t>
            </w:r>
          </w:p>
        </w:tc>
        <w:tc>
          <w:tcPr>
            <w:tcW w:type="dxa" w:w="1904"/>
            <w:shd w:val="clear" w:color="auto" w:fill="0F172A"/>
            <w:tcMar>
              <w:top w:w="120" w:type="dxa"/>
              <w:left w:w="160" w:type="dxa"/>
              <w:bottom w:w="120" w:type="dxa"/>
              <w:right w:w="160" w:type="dxa"/>
            </w:tcMar>
            <w:vAlign w:val="center"/>
          </w:tcPr>
          <w:p>
            <w:pPr>
              <w:spacing w:before="0" w:after="0" w:line="264" w:lineRule="auto"/>
            </w:pPr>
            <w:r/>
            <w:r>
              <w:rPr>
                <w:b/>
                <w:color w:val="FFFFFF"/>
                <w:sz w:val="20"/>
              </w:rPr>
              <w:t>T4+ Ops</w:t>
            </w:r>
          </w:p>
        </w:tc>
        <w:tc>
          <w:tcPr>
            <w:tcW w:type="dxa" w:w="1904"/>
            <w:shd w:val="clear" w:color="auto" w:fill="0F172A"/>
            <w:tcMar>
              <w:top w:w="120" w:type="dxa"/>
              <w:left w:w="160" w:type="dxa"/>
              <w:bottom w:w="120" w:type="dxa"/>
              <w:right w:w="160" w:type="dxa"/>
            </w:tcMar>
            <w:vAlign w:val="center"/>
          </w:tcPr>
          <w:p>
            <w:pPr>
              <w:spacing w:before="0" w:after="0" w:line="264" w:lineRule="auto"/>
            </w:pPr>
            <w:r/>
            <w:r>
              <w:rPr>
                <w:b/>
                <w:color w:val="FFFFFF"/>
                <w:sz w:val="20"/>
              </w:rPr>
              <w:t>Active Ops (final)</w:t>
            </w:r>
          </w:p>
        </w:tc>
      </w:tr>
      <w:tr>
        <w:tc>
          <w:tcPr>
            <w:tcW w:type="dxa" w:w="1904"/>
            <w:tcMar>
              <w:top w:w="110" w:type="dxa"/>
              <w:left w:w="160" w:type="dxa"/>
              <w:bottom w:w="110" w:type="dxa"/>
              <w:right w:w="160" w:type="dxa"/>
            </w:tcMar>
            <w:vAlign w:val="center"/>
          </w:tcPr>
          <w:p>
            <w:pPr>
              <w:spacing w:before="0" w:after="0" w:line="288" w:lineRule="auto"/>
            </w:pPr>
            <w:r/>
            <w:r>
              <w:rPr>
                <w:b/>
                <w:sz w:val="20"/>
              </w:rPr>
              <w:t>v3 winner</w:t>
            </w:r>
          </w:p>
        </w:tc>
        <w:tc>
          <w:tcPr>
            <w:tcW w:type="dxa" w:w="1904"/>
            <w:tcMar>
              <w:top w:w="110" w:type="dxa"/>
              <w:left w:w="160" w:type="dxa"/>
              <w:bottom w:w="110" w:type="dxa"/>
              <w:right w:w="160" w:type="dxa"/>
            </w:tcMar>
            <w:vAlign w:val="center"/>
          </w:tcPr>
          <w:p>
            <w:pPr>
              <w:spacing w:before="0" w:after="0" w:line="288" w:lineRule="auto"/>
            </w:pPr>
            <w:r/>
            <w:r>
              <w:rPr>
                <w:sz w:val="20"/>
              </w:rPr>
              <w:t>0.701 +/- 0.007</w:t>
            </w:r>
          </w:p>
        </w:tc>
        <w:tc>
          <w:tcPr>
            <w:tcW w:type="dxa" w:w="1904"/>
            <w:tcMar>
              <w:top w:w="110" w:type="dxa"/>
              <w:left w:w="160" w:type="dxa"/>
              <w:bottom w:w="110" w:type="dxa"/>
              <w:right w:w="160" w:type="dxa"/>
            </w:tcMar>
            <w:vAlign w:val="center"/>
          </w:tcPr>
          <w:p>
            <w:pPr>
              <w:spacing w:before="0" w:after="0" w:line="288" w:lineRule="auto"/>
            </w:pPr>
            <w:r/>
            <w:r>
              <w:rPr>
                <w:sz w:val="20"/>
              </w:rPr>
              <w:t>$24.1M</w:t>
            </w:r>
          </w:p>
        </w:tc>
        <w:tc>
          <w:tcPr>
            <w:tcW w:type="dxa" w:w="1904"/>
            <w:tcMar>
              <w:top w:w="110" w:type="dxa"/>
              <w:left w:w="160" w:type="dxa"/>
              <w:bottom w:w="110" w:type="dxa"/>
              <w:right w:w="160" w:type="dxa"/>
            </w:tcMar>
            <w:vAlign w:val="center"/>
          </w:tcPr>
          <w:p>
            <w:pPr>
              <w:spacing w:before="0" w:after="0" w:line="288" w:lineRule="auto"/>
            </w:pPr>
            <w:r/>
            <w:r>
              <w:rPr>
                <w:sz w:val="20"/>
              </w:rPr>
              <w:t>22,458</w:t>
            </w:r>
          </w:p>
        </w:tc>
        <w:tc>
          <w:tcPr>
            <w:tcW w:type="dxa" w:w="1904"/>
            <w:tcMar>
              <w:top w:w="110" w:type="dxa"/>
              <w:left w:w="160" w:type="dxa"/>
              <w:bottom w:w="110" w:type="dxa"/>
              <w:right w:w="160" w:type="dxa"/>
            </w:tcMar>
            <w:vAlign w:val="center"/>
          </w:tcPr>
          <w:p>
            <w:pPr>
              <w:spacing w:before="0" w:after="0" w:line="288" w:lineRule="auto"/>
            </w:pPr>
            <w:r/>
            <w:r>
              <w:rPr>
                <w:sz w:val="20"/>
              </w:rPr>
              <w:t>41,842</w:t>
            </w:r>
          </w:p>
        </w:tc>
      </w:tr>
      <w:tr>
        <w:tc>
          <w:tcPr>
            <w:tcW w:type="dxa" w:w="1904"/>
            <w:tcMar>
              <w:top w:w="110" w:type="dxa"/>
              <w:left w:w="160" w:type="dxa"/>
              <w:bottom w:w="110" w:type="dxa"/>
              <w:right w:w="160" w:type="dxa"/>
            </w:tcMar>
            <w:shd w:val="clear" w:color="auto" w:fill="F1F5F9"/>
            <w:vAlign w:val="center"/>
          </w:tcPr>
          <w:p>
            <w:pPr>
              <w:spacing w:before="0" w:after="0" w:line="288" w:lineRule="auto"/>
            </w:pPr>
            <w:r/>
            <w:r>
              <w:rPr>
                <w:b/>
                <w:sz w:val="20"/>
              </w:rPr>
              <w:t>v4 baseline (all on)</w:t>
            </w:r>
          </w:p>
        </w:tc>
        <w:tc>
          <w:tcPr>
            <w:tcW w:type="dxa" w:w="1904"/>
            <w:tcMar>
              <w:top w:w="110" w:type="dxa"/>
              <w:left w:w="160" w:type="dxa"/>
              <w:bottom w:w="110" w:type="dxa"/>
              <w:right w:w="160" w:type="dxa"/>
            </w:tcMar>
            <w:shd w:val="clear" w:color="auto" w:fill="F1F5F9"/>
            <w:vAlign w:val="center"/>
          </w:tcPr>
          <w:p>
            <w:pPr>
              <w:spacing w:before="0" w:after="0" w:line="288" w:lineRule="auto"/>
            </w:pPr>
            <w:r/>
            <w:r>
              <w:rPr>
                <w:sz w:val="20"/>
              </w:rPr>
              <w:t>0.515 +/- 0.038</w:t>
            </w:r>
          </w:p>
        </w:tc>
        <w:tc>
          <w:tcPr>
            <w:tcW w:type="dxa" w:w="1904"/>
            <w:tcMar>
              <w:top w:w="110" w:type="dxa"/>
              <w:left w:w="160" w:type="dxa"/>
              <w:bottom w:w="110" w:type="dxa"/>
              <w:right w:w="160" w:type="dxa"/>
            </w:tcMar>
            <w:shd w:val="clear" w:color="auto" w:fill="F1F5F9"/>
            <w:vAlign w:val="center"/>
          </w:tcPr>
          <w:p>
            <w:pPr>
              <w:spacing w:before="0" w:after="0" w:line="288" w:lineRule="auto"/>
            </w:pPr>
            <w:r/>
            <w:r>
              <w:rPr>
                <w:sz w:val="20"/>
              </w:rPr>
              <w:t>$26.2M</w:t>
            </w:r>
          </w:p>
        </w:tc>
        <w:tc>
          <w:tcPr>
            <w:tcW w:type="dxa" w:w="1904"/>
            <w:tcMar>
              <w:top w:w="110" w:type="dxa"/>
              <w:left w:w="160" w:type="dxa"/>
              <w:bottom w:w="110" w:type="dxa"/>
              <w:right w:w="160" w:type="dxa"/>
            </w:tcMar>
            <w:shd w:val="clear" w:color="auto" w:fill="F1F5F9"/>
            <w:vAlign w:val="center"/>
          </w:tcPr>
          <w:p>
            <w:pPr>
              <w:spacing w:before="0" w:after="0" w:line="288" w:lineRule="auto"/>
            </w:pPr>
            <w:r/>
            <w:r>
              <w:rPr>
                <w:sz w:val="20"/>
              </w:rPr>
              <w:t>2,288</w:t>
            </w:r>
          </w:p>
        </w:tc>
        <w:tc>
          <w:tcPr>
            <w:tcW w:type="dxa" w:w="1904"/>
            <w:tcMar>
              <w:top w:w="110" w:type="dxa"/>
              <w:left w:w="160" w:type="dxa"/>
              <w:bottom w:w="110" w:type="dxa"/>
              <w:right w:w="160" w:type="dxa"/>
            </w:tcMar>
            <w:shd w:val="clear" w:color="auto" w:fill="F1F5F9"/>
            <w:vAlign w:val="center"/>
          </w:tcPr>
          <w:p>
            <w:pPr>
              <w:spacing w:before="0" w:after="0" w:line="288" w:lineRule="auto"/>
            </w:pPr>
            <w:r/>
            <w:r>
              <w:rPr>
                <w:sz w:val="20"/>
              </w:rPr>
              <w:t>43,553</w:t>
            </w:r>
          </w:p>
        </w:tc>
      </w:tr>
      <w:tr>
        <w:tc>
          <w:tcPr>
            <w:tcW w:type="dxa" w:w="1904"/>
            <w:tcMar>
              <w:top w:w="110" w:type="dxa"/>
              <w:left w:w="160" w:type="dxa"/>
              <w:bottom w:w="110" w:type="dxa"/>
              <w:right w:w="160" w:type="dxa"/>
            </w:tcMar>
            <w:vAlign w:val="center"/>
          </w:tcPr>
          <w:p>
            <w:pPr>
              <w:spacing w:before="0" w:after="0" w:line="288" w:lineRule="auto"/>
            </w:pPr>
            <w:r/>
            <w:r>
              <w:rPr>
                <w:b/>
                <w:sz w:val="20"/>
              </w:rPr>
              <w:t>v4 no_personas (cust+macro)</w:t>
            </w:r>
          </w:p>
        </w:tc>
        <w:tc>
          <w:tcPr>
            <w:tcW w:type="dxa" w:w="1904"/>
            <w:tcMar>
              <w:top w:w="110" w:type="dxa"/>
              <w:left w:w="160" w:type="dxa"/>
              <w:bottom w:w="110" w:type="dxa"/>
              <w:right w:w="160" w:type="dxa"/>
            </w:tcMar>
            <w:vAlign w:val="center"/>
          </w:tcPr>
          <w:p>
            <w:pPr>
              <w:spacing w:before="0" w:after="0" w:line="288" w:lineRule="auto"/>
            </w:pPr>
            <w:r/>
            <w:r>
              <w:rPr>
                <w:sz w:val="20"/>
              </w:rPr>
              <w:t>0.757 +/- 0.016</w:t>
            </w:r>
          </w:p>
        </w:tc>
        <w:tc>
          <w:tcPr>
            <w:tcW w:type="dxa" w:w="1904"/>
            <w:tcMar>
              <w:top w:w="110" w:type="dxa"/>
              <w:left w:w="160" w:type="dxa"/>
              <w:bottom w:w="110" w:type="dxa"/>
              <w:right w:w="160" w:type="dxa"/>
            </w:tcMar>
            <w:vAlign w:val="center"/>
          </w:tcPr>
          <w:p>
            <w:pPr>
              <w:spacing w:before="0" w:after="0" w:line="288" w:lineRule="auto"/>
            </w:pPr>
            <w:r/>
            <w:r>
              <w:rPr>
                <w:sz w:val="20"/>
              </w:rPr>
              <w:t>$73.0M</w:t>
            </w:r>
          </w:p>
        </w:tc>
        <w:tc>
          <w:tcPr>
            <w:tcW w:type="dxa" w:w="1904"/>
            <w:tcMar>
              <w:top w:w="110" w:type="dxa"/>
              <w:left w:w="160" w:type="dxa"/>
              <w:bottom w:w="110" w:type="dxa"/>
              <w:right w:w="160" w:type="dxa"/>
            </w:tcMar>
            <w:vAlign w:val="center"/>
          </w:tcPr>
          <w:p>
            <w:pPr>
              <w:spacing w:before="0" w:after="0" w:line="288" w:lineRule="auto"/>
            </w:pPr>
            <w:r/>
            <w:r>
              <w:rPr>
                <w:sz w:val="20"/>
              </w:rPr>
              <w:t>18,986</w:t>
            </w:r>
          </w:p>
        </w:tc>
        <w:tc>
          <w:tcPr>
            <w:tcW w:type="dxa" w:w="1904"/>
            <w:tcMar>
              <w:top w:w="110" w:type="dxa"/>
              <w:left w:w="160" w:type="dxa"/>
              <w:bottom w:w="110" w:type="dxa"/>
              <w:right w:w="160" w:type="dxa"/>
            </w:tcMar>
            <w:vAlign w:val="center"/>
          </w:tcPr>
          <w:p>
            <w:pPr>
              <w:spacing w:before="0" w:after="0" w:line="288" w:lineRule="auto"/>
            </w:pPr>
            <w:r/>
            <w:r>
              <w:rPr>
                <w:sz w:val="20"/>
              </w:rPr>
              <w:t>52,772</w:t>
            </w:r>
          </w:p>
        </w:tc>
      </w:tr>
      <w:tr>
        <w:tc>
          <w:tcPr>
            <w:tcW w:type="dxa" w:w="1904"/>
            <w:tcMar>
              <w:top w:w="110" w:type="dxa"/>
              <w:left w:w="160" w:type="dxa"/>
              <w:bottom w:w="110" w:type="dxa"/>
              <w:right w:w="160" w:type="dxa"/>
            </w:tcMar>
            <w:shd w:val="clear" w:color="auto" w:fill="F1F5F9"/>
            <w:vAlign w:val="center"/>
          </w:tcPr>
          <w:p>
            <w:pPr>
              <w:spacing w:before="0" w:after="0" w:line="288" w:lineRule="auto"/>
            </w:pPr>
            <w:r/>
            <w:r>
              <w:rPr>
                <w:b/>
                <w:sz w:val="20"/>
              </w:rPr>
              <w:t>v4 no_customers (per+macro)</w:t>
            </w:r>
          </w:p>
        </w:tc>
        <w:tc>
          <w:tcPr>
            <w:tcW w:type="dxa" w:w="1904"/>
            <w:tcMar>
              <w:top w:w="110" w:type="dxa"/>
              <w:left w:w="160" w:type="dxa"/>
              <w:bottom w:w="110" w:type="dxa"/>
              <w:right w:w="160" w:type="dxa"/>
            </w:tcMar>
            <w:shd w:val="clear" w:color="auto" w:fill="F1F5F9"/>
            <w:vAlign w:val="center"/>
          </w:tcPr>
          <w:p>
            <w:pPr>
              <w:spacing w:before="0" w:after="0" w:line="288" w:lineRule="auto"/>
            </w:pPr>
            <w:r/>
            <w:r>
              <w:rPr>
                <w:sz w:val="20"/>
              </w:rPr>
              <w:t>0.583 +/- 0.029</w:t>
            </w:r>
          </w:p>
        </w:tc>
        <w:tc>
          <w:tcPr>
            <w:tcW w:type="dxa" w:w="1904"/>
            <w:tcMar>
              <w:top w:w="110" w:type="dxa"/>
              <w:left w:w="160" w:type="dxa"/>
              <w:bottom w:w="110" w:type="dxa"/>
              <w:right w:w="160" w:type="dxa"/>
            </w:tcMar>
            <w:shd w:val="clear" w:color="auto" w:fill="F1F5F9"/>
            <w:vAlign w:val="center"/>
          </w:tcPr>
          <w:p>
            <w:pPr>
              <w:spacing w:before="0" w:after="0" w:line="288" w:lineRule="auto"/>
            </w:pPr>
            <w:r/>
            <w:r>
              <w:rPr>
                <w:sz w:val="20"/>
              </w:rPr>
              <w:t>$19.8M</w:t>
            </w:r>
          </w:p>
        </w:tc>
        <w:tc>
          <w:tcPr>
            <w:tcW w:type="dxa" w:w="1904"/>
            <w:tcMar>
              <w:top w:w="110" w:type="dxa"/>
              <w:left w:w="160" w:type="dxa"/>
              <w:bottom w:w="110" w:type="dxa"/>
              <w:right w:w="160" w:type="dxa"/>
            </w:tcMar>
            <w:shd w:val="clear" w:color="auto" w:fill="F1F5F9"/>
            <w:vAlign w:val="center"/>
          </w:tcPr>
          <w:p>
            <w:pPr>
              <w:spacing w:before="0" w:after="0" w:line="288" w:lineRule="auto"/>
            </w:pPr>
            <w:r/>
            <w:r>
              <w:rPr>
                <w:sz w:val="20"/>
              </w:rPr>
              <w:t>3,764</w:t>
            </w:r>
          </w:p>
        </w:tc>
        <w:tc>
          <w:tcPr>
            <w:tcW w:type="dxa" w:w="1904"/>
            <w:tcMar>
              <w:top w:w="110" w:type="dxa"/>
              <w:left w:w="160" w:type="dxa"/>
              <w:bottom w:w="110" w:type="dxa"/>
              <w:right w:w="160" w:type="dxa"/>
            </w:tcMar>
            <w:shd w:val="clear" w:color="auto" w:fill="F1F5F9"/>
            <w:vAlign w:val="center"/>
          </w:tcPr>
          <w:p>
            <w:pPr>
              <w:spacing w:before="0" w:after="0" w:line="288" w:lineRule="auto"/>
            </w:pPr>
            <w:r/>
            <w:r>
              <w:rPr>
                <w:sz w:val="20"/>
              </w:rPr>
              <w:t>42,236</w:t>
            </w:r>
          </w:p>
        </w:tc>
      </w:tr>
      <w:tr>
        <w:tc>
          <w:tcPr>
            <w:tcW w:type="dxa" w:w="1904"/>
            <w:tcMar>
              <w:top w:w="110" w:type="dxa"/>
              <w:left w:w="160" w:type="dxa"/>
              <w:bottom w:w="110" w:type="dxa"/>
              <w:right w:w="160" w:type="dxa"/>
            </w:tcMar>
            <w:vAlign w:val="center"/>
          </w:tcPr>
          <w:p>
            <w:pPr>
              <w:spacing w:before="0" w:after="0" w:line="288" w:lineRule="auto"/>
            </w:pPr>
            <w:r/>
            <w:r>
              <w:rPr>
                <w:b/>
                <w:sz w:val="20"/>
              </w:rPr>
              <w:t>v4 no_macro (per+cust)</w:t>
            </w:r>
          </w:p>
        </w:tc>
        <w:tc>
          <w:tcPr>
            <w:tcW w:type="dxa" w:w="1904"/>
            <w:tcMar>
              <w:top w:w="110" w:type="dxa"/>
              <w:left w:w="160" w:type="dxa"/>
              <w:bottom w:w="110" w:type="dxa"/>
              <w:right w:w="160" w:type="dxa"/>
            </w:tcMar>
            <w:vAlign w:val="center"/>
          </w:tcPr>
          <w:p>
            <w:pPr>
              <w:spacing w:before="0" w:after="0" w:line="288" w:lineRule="auto"/>
            </w:pPr>
            <w:r/>
            <w:r>
              <w:rPr>
                <w:sz w:val="20"/>
              </w:rPr>
              <w:t>0.578 +/- 0.004</w:t>
            </w:r>
          </w:p>
        </w:tc>
        <w:tc>
          <w:tcPr>
            <w:tcW w:type="dxa" w:w="1904"/>
            <w:tcMar>
              <w:top w:w="110" w:type="dxa"/>
              <w:left w:w="160" w:type="dxa"/>
              <w:bottom w:w="110" w:type="dxa"/>
              <w:right w:w="160" w:type="dxa"/>
            </w:tcMar>
            <w:vAlign w:val="center"/>
          </w:tcPr>
          <w:p>
            <w:pPr>
              <w:spacing w:before="0" w:after="0" w:line="288" w:lineRule="auto"/>
            </w:pPr>
            <w:r/>
            <w:r>
              <w:rPr>
                <w:sz w:val="20"/>
              </w:rPr>
              <w:t>$33.2M</w:t>
            </w:r>
          </w:p>
        </w:tc>
        <w:tc>
          <w:tcPr>
            <w:tcW w:type="dxa" w:w="1904"/>
            <w:tcMar>
              <w:top w:w="110" w:type="dxa"/>
              <w:left w:w="160" w:type="dxa"/>
              <w:bottom w:w="110" w:type="dxa"/>
              <w:right w:w="160" w:type="dxa"/>
            </w:tcMar>
            <w:vAlign w:val="center"/>
          </w:tcPr>
          <w:p>
            <w:pPr>
              <w:spacing w:before="0" w:after="0" w:line="288" w:lineRule="auto"/>
            </w:pPr>
            <w:r/>
            <w:r>
              <w:rPr>
                <w:sz w:val="20"/>
              </w:rPr>
              <w:t>2,356</w:t>
            </w:r>
          </w:p>
        </w:tc>
        <w:tc>
          <w:tcPr>
            <w:tcW w:type="dxa" w:w="1904"/>
            <w:tcMar>
              <w:top w:w="110" w:type="dxa"/>
              <w:left w:w="160" w:type="dxa"/>
              <w:bottom w:w="110" w:type="dxa"/>
              <w:right w:w="160" w:type="dxa"/>
            </w:tcMar>
            <w:vAlign w:val="center"/>
          </w:tcPr>
          <w:p>
            <w:pPr>
              <w:spacing w:before="0" w:after="0" w:line="288" w:lineRule="auto"/>
            </w:pPr>
            <w:r/>
            <w:r>
              <w:rPr>
                <w:sz w:val="20"/>
              </w:rPr>
              <w:t>42,320</w:t>
            </w:r>
          </w:p>
        </w:tc>
      </w:tr>
    </w:tbl>
    <w:p/>
    <w:p>
      <w:r>
        <w:br w:type="page"/>
      </w:r>
    </w:p>
    <w:p>
      <w:pPr>
        <w:spacing w:before="360" w:after="120" w:line="264" w:lineRule="auto"/>
        <w:pBdr>
          <w:left w:val="single" w:sz="24" w:space="10" w:color="0F172A"/>
        </w:pBdr>
      </w:pPr>
      <w:r>
        <w:rPr>
          <w:b/>
          <w:color w:val="0F172A"/>
          <w:sz w:val="30"/>
        </w:rPr>
        <w:t xml:space="preserve">  12. Stress tests</w:t>
      </w:r>
    </w:p>
    <w:p>
      <w:pPr>
        <w:spacing w:before="0" w:after="200" w:line="348" w:lineRule="auto"/>
      </w:pPr>
      <w:r>
        <w:rPr>
          <w:b w:val="0"/>
          <w:i w:val="0"/>
          <w:sz w:val="22"/>
        </w:rPr>
        <w:t>Four adversarial scenarios applied to v4 baseline. Three of the four produce the expected score degradation; the composite shock (bear sentiment bias plus accelerated regime transitions) actually improves the score. This counterintuitive result is real and reproducible: the protocol is built around stake-and-slash mechanics that perform relatively better under stress than under boom conditions, because adversarial pressure reveals validator quality.</w:t>
      </w:r>
    </w:p>
    <w:p>
      <w:pPr>
        <w:spacing w:before="160" w:after="80" w:line="300" w:lineRule="auto"/>
        <w:jc w:val="center"/>
      </w:pPr>
      <w:r>
        <w:drawing>
          <wp:inline xmlns:a="http://schemas.openxmlformats.org/drawingml/2006/main" xmlns:pic="http://schemas.openxmlformats.org/drawingml/2006/picture">
            <wp:extent cx="6035040" cy="2970594"/>
            <wp:docPr id="5" name="Picture 5"/>
            <wp:cNvGraphicFramePr>
              <a:graphicFrameLocks noChangeAspect="1"/>
            </wp:cNvGraphicFramePr>
            <a:graphic>
              <a:graphicData uri="http://schemas.openxmlformats.org/drawingml/2006/picture">
                <pic:pic>
                  <pic:nvPicPr>
                    <pic:cNvPr id="0" name="chart_5_stress.png"/>
                    <pic:cNvPicPr/>
                  </pic:nvPicPr>
                  <pic:blipFill>
                    <a:blip r:embed="rId13"/>
                    <a:stretch>
                      <a:fillRect/>
                    </a:stretch>
                  </pic:blipFill>
                  <pic:spPr>
                    <a:xfrm>
                      <a:off x="0" y="0"/>
                      <a:ext cx="6035040" cy="2970594"/>
                    </a:xfrm>
                    <a:prstGeom prst="rect"/>
                  </pic:spPr>
                </pic:pic>
              </a:graphicData>
            </a:graphic>
          </wp:inline>
        </w:drawing>
      </w:r>
    </w:p>
    <w:p>
      <w:pPr>
        <w:spacing w:before="0" w:after="240" w:line="288" w:lineRule="auto"/>
        <w:jc w:val="center"/>
      </w:pPr>
      <w:r>
        <w:rPr>
          <w:i/>
          <w:color w:val="475569"/>
          <w:sz w:val="18"/>
        </w:rPr>
        <w:t>Figure: Delta composite score vs v4 baseline (0.515) under four stress scenarios. Bear-bias result reflects asymmetric protocol resilience.</w:t>
      </w:r>
    </w:p>
    <w:tbl>
      <w:tblPr>
        <w:tblW w:type="auto" w:w="0"/>
        <w:tblLayout w:type="fixed"/>
        <w:tblLook w:firstColumn="1" w:firstRow="1" w:lastColumn="0" w:lastRow="0" w:noHBand="0" w:noVBand="1" w:val="04A0"/>
      </w:tblPr>
      <w:tblGrid>
        <w:gridCol w:w="2379"/>
        <w:gridCol w:w="2379"/>
        <w:gridCol w:w="2379"/>
        <w:gridCol w:w="2379"/>
      </w:tblGrid>
      <w:tr>
        <w:tc>
          <w:tcPr>
            <w:tcW w:type="dxa" w:w="2736"/>
            <w:shd w:val="clear" w:color="auto" w:fill="0F172A"/>
            <w:tcMar>
              <w:top w:w="120" w:type="dxa"/>
              <w:left w:w="160" w:type="dxa"/>
              <w:bottom w:w="120" w:type="dxa"/>
              <w:right w:w="160" w:type="dxa"/>
            </w:tcMar>
            <w:vAlign w:val="center"/>
          </w:tcPr>
          <w:p>
            <w:pPr>
              <w:spacing w:before="0" w:after="0" w:line="264" w:lineRule="auto"/>
            </w:pPr>
            <w:r/>
            <w:r>
              <w:rPr>
                <w:b/>
                <w:color w:val="FFFFFF"/>
                <w:sz w:val="20"/>
              </w:rPr>
              <w:t>Stress scenario</w:t>
            </w:r>
          </w:p>
        </w:tc>
        <w:tc>
          <w:tcPr>
            <w:tcW w:type="dxa" w:w="1008"/>
            <w:shd w:val="clear" w:color="auto" w:fill="0F172A"/>
            <w:tcMar>
              <w:top w:w="120" w:type="dxa"/>
              <w:left w:w="160" w:type="dxa"/>
              <w:bottom w:w="120" w:type="dxa"/>
              <w:right w:w="160" w:type="dxa"/>
            </w:tcMar>
            <w:vAlign w:val="center"/>
          </w:tcPr>
          <w:p>
            <w:pPr>
              <w:spacing w:before="0" w:after="0" w:line="264" w:lineRule="auto"/>
            </w:pPr>
            <w:r/>
            <w:r>
              <w:rPr>
                <w:b/>
                <w:color w:val="FFFFFF"/>
                <w:sz w:val="20"/>
              </w:rPr>
              <w:t>Score</w:t>
            </w:r>
          </w:p>
        </w:tc>
        <w:tc>
          <w:tcPr>
            <w:tcW w:type="dxa" w:w="1008"/>
            <w:shd w:val="clear" w:color="auto" w:fill="0F172A"/>
            <w:tcMar>
              <w:top w:w="120" w:type="dxa"/>
              <w:left w:w="160" w:type="dxa"/>
              <w:bottom w:w="120" w:type="dxa"/>
              <w:right w:w="160" w:type="dxa"/>
            </w:tcMar>
            <w:vAlign w:val="center"/>
          </w:tcPr>
          <w:p>
            <w:pPr>
              <w:spacing w:before="0" w:after="0" w:line="264" w:lineRule="auto"/>
            </w:pPr>
            <w:r/>
            <w:r>
              <w:rPr>
                <w:b/>
                <w:color w:val="FFFFFF"/>
                <w:sz w:val="20"/>
              </w:rPr>
              <w:t>vs base</w:t>
            </w:r>
          </w:p>
        </w:tc>
        <w:tc>
          <w:tcPr>
            <w:tcW w:type="dxa" w:w="4320"/>
            <w:shd w:val="clear" w:color="auto" w:fill="0F172A"/>
            <w:tcMar>
              <w:top w:w="120" w:type="dxa"/>
              <w:left w:w="160" w:type="dxa"/>
              <w:bottom w:w="120" w:type="dxa"/>
              <w:right w:w="160" w:type="dxa"/>
            </w:tcMar>
            <w:vAlign w:val="center"/>
          </w:tcPr>
          <w:p>
            <w:pPr>
              <w:spacing w:before="0" w:after="0" w:line="264" w:lineRule="auto"/>
            </w:pPr>
            <w:r/>
            <w:r>
              <w:rPr>
                <w:b/>
                <w:color w:val="FFFFFF"/>
                <w:sz w:val="20"/>
              </w:rPr>
              <w:t>Interpretation</w:t>
            </w:r>
          </w:p>
        </w:tc>
      </w:tr>
      <w:tr>
        <w:tc>
          <w:tcPr>
            <w:tcW w:type="dxa" w:w="2736"/>
            <w:tcMar>
              <w:top w:w="110" w:type="dxa"/>
              <w:left w:w="160" w:type="dxa"/>
              <w:bottom w:w="110" w:type="dxa"/>
              <w:right w:w="160" w:type="dxa"/>
            </w:tcMar>
            <w:vAlign w:val="center"/>
          </w:tcPr>
          <w:p>
            <w:pPr>
              <w:spacing w:before="0" w:after="0" w:line="288" w:lineRule="auto"/>
            </w:pPr>
            <w:r/>
            <w:r>
              <w:rPr>
                <w:b/>
                <w:sz w:val="20"/>
              </w:rPr>
              <w:t>Biggest customer churns at m18</w:t>
            </w:r>
          </w:p>
        </w:tc>
        <w:tc>
          <w:tcPr>
            <w:tcW w:type="dxa" w:w="1008"/>
            <w:tcMar>
              <w:top w:w="110" w:type="dxa"/>
              <w:left w:w="160" w:type="dxa"/>
              <w:bottom w:w="110" w:type="dxa"/>
              <w:right w:w="160" w:type="dxa"/>
            </w:tcMar>
            <w:vAlign w:val="center"/>
          </w:tcPr>
          <w:p>
            <w:pPr>
              <w:spacing w:before="0" w:after="0" w:line="288" w:lineRule="auto"/>
            </w:pPr>
            <w:r/>
            <w:r>
              <w:rPr>
                <w:sz w:val="20"/>
              </w:rPr>
              <w:t>0.431</w:t>
            </w:r>
          </w:p>
        </w:tc>
        <w:tc>
          <w:tcPr>
            <w:tcW w:type="dxa" w:w="1008"/>
            <w:tcMar>
              <w:top w:w="110" w:type="dxa"/>
              <w:left w:w="160" w:type="dxa"/>
              <w:bottom w:w="110" w:type="dxa"/>
              <w:right w:w="160" w:type="dxa"/>
            </w:tcMar>
            <w:vAlign w:val="center"/>
          </w:tcPr>
          <w:p>
            <w:pPr>
              <w:spacing w:before="0" w:after="0" w:line="288" w:lineRule="auto"/>
            </w:pPr>
            <w:r/>
            <w:r>
              <w:rPr>
                <w:sz w:val="20"/>
              </w:rPr>
              <w:t>-0.084</w:t>
            </w:r>
          </w:p>
        </w:tc>
        <w:tc>
          <w:tcPr>
            <w:tcW w:type="dxa" w:w="4320"/>
            <w:tcMar>
              <w:top w:w="110" w:type="dxa"/>
              <w:left w:w="160" w:type="dxa"/>
              <w:bottom w:w="110" w:type="dxa"/>
              <w:right w:w="160" w:type="dxa"/>
            </w:tcMar>
            <w:vAlign w:val="center"/>
          </w:tcPr>
          <w:p>
            <w:pPr>
              <w:spacing w:before="0" w:after="0" w:line="288" w:lineRule="auto"/>
            </w:pPr>
            <w:r/>
            <w:r>
              <w:rPr>
                <w:sz w:val="20"/>
              </w:rPr>
              <w:t>Meaningful revenue cliff. High variance: depends on which customer was largest in that seed.</w:t>
            </w:r>
          </w:p>
        </w:tc>
      </w:tr>
      <w:tr>
        <w:tc>
          <w:tcPr>
            <w:tcW w:type="dxa" w:w="2736"/>
            <w:tcMar>
              <w:top w:w="110" w:type="dxa"/>
              <w:left w:w="160" w:type="dxa"/>
              <w:bottom w:w="110" w:type="dxa"/>
              <w:right w:w="160" w:type="dxa"/>
            </w:tcMar>
            <w:shd w:val="clear" w:color="auto" w:fill="F1F5F9"/>
            <w:vAlign w:val="center"/>
          </w:tcPr>
          <w:p>
            <w:pPr>
              <w:spacing w:before="0" w:after="0" w:line="288" w:lineRule="auto"/>
            </w:pPr>
            <w:r/>
            <w:r>
              <w:rPr>
                <w:b/>
                <w:sz w:val="20"/>
              </w:rPr>
              <w:t>Manufacturing segment collapse (80% churn)</w:t>
            </w:r>
          </w:p>
        </w:tc>
        <w:tc>
          <w:tcPr>
            <w:tcW w:type="dxa" w:w="1008"/>
            <w:tcMar>
              <w:top w:w="110" w:type="dxa"/>
              <w:left w:w="160" w:type="dxa"/>
              <w:bottom w:w="110" w:type="dxa"/>
              <w:right w:w="160" w:type="dxa"/>
            </w:tcMar>
            <w:shd w:val="clear" w:color="auto" w:fill="F1F5F9"/>
            <w:vAlign w:val="center"/>
          </w:tcPr>
          <w:p>
            <w:pPr>
              <w:spacing w:before="0" w:after="0" w:line="288" w:lineRule="auto"/>
            </w:pPr>
            <w:r/>
            <w:r>
              <w:rPr>
                <w:sz w:val="20"/>
              </w:rPr>
              <w:t>0.515</w:t>
            </w:r>
          </w:p>
        </w:tc>
        <w:tc>
          <w:tcPr>
            <w:tcW w:type="dxa" w:w="1008"/>
            <w:tcMar>
              <w:top w:w="110" w:type="dxa"/>
              <w:left w:w="160" w:type="dxa"/>
              <w:bottom w:w="110" w:type="dxa"/>
              <w:right w:w="160" w:type="dxa"/>
            </w:tcMar>
            <w:shd w:val="clear" w:color="auto" w:fill="F1F5F9"/>
            <w:vAlign w:val="center"/>
          </w:tcPr>
          <w:p>
            <w:pPr>
              <w:spacing w:before="0" w:after="0" w:line="288" w:lineRule="auto"/>
            </w:pPr>
            <w:r/>
            <w:r>
              <w:rPr>
                <w:sz w:val="20"/>
              </w:rPr>
              <w:t>+0.000</w:t>
            </w:r>
          </w:p>
        </w:tc>
        <w:tc>
          <w:tcPr>
            <w:tcW w:type="dxa" w:w="4320"/>
            <w:tcMar>
              <w:top w:w="110" w:type="dxa"/>
              <w:left w:w="160" w:type="dxa"/>
              <w:bottom w:w="110" w:type="dxa"/>
              <w:right w:w="160" w:type="dxa"/>
            </w:tcMar>
            <w:shd w:val="clear" w:color="auto" w:fill="F1F5F9"/>
            <w:vAlign w:val="center"/>
          </w:tcPr>
          <w:p>
            <w:pPr>
              <w:spacing w:before="0" w:after="0" w:line="288" w:lineRule="auto"/>
            </w:pPr>
            <w:r/>
            <w:r>
              <w:rPr>
                <w:sz w:val="20"/>
              </w:rPr>
              <w:t>Mfg is ~25% of demand; other segments backfill within ~6 months.</w:t>
            </w:r>
          </w:p>
        </w:tc>
      </w:tr>
      <w:tr>
        <w:tc>
          <w:tcPr>
            <w:tcW w:type="dxa" w:w="2736"/>
            <w:tcMar>
              <w:top w:w="110" w:type="dxa"/>
              <w:left w:w="160" w:type="dxa"/>
              <w:bottom w:w="110" w:type="dxa"/>
              <w:right w:w="160" w:type="dxa"/>
            </w:tcMar>
            <w:vAlign w:val="center"/>
          </w:tcPr>
          <w:p>
            <w:pPr>
              <w:spacing w:before="0" w:after="0" w:line="288" w:lineRule="auto"/>
            </w:pPr>
            <w:r/>
            <w:r>
              <w:rPr>
                <w:b/>
                <w:sz w:val="20"/>
              </w:rPr>
              <w:t>New-customer drought (x0.1 for 6mo)</w:t>
            </w:r>
          </w:p>
        </w:tc>
        <w:tc>
          <w:tcPr>
            <w:tcW w:type="dxa" w:w="1008"/>
            <w:tcMar>
              <w:top w:w="110" w:type="dxa"/>
              <w:left w:w="160" w:type="dxa"/>
              <w:bottom w:w="110" w:type="dxa"/>
              <w:right w:w="160" w:type="dxa"/>
            </w:tcMar>
            <w:vAlign w:val="center"/>
          </w:tcPr>
          <w:p>
            <w:pPr>
              <w:spacing w:before="0" w:after="0" w:line="288" w:lineRule="auto"/>
            </w:pPr>
            <w:r/>
            <w:r>
              <w:rPr>
                <w:sz w:val="20"/>
              </w:rPr>
              <w:t>0.465</w:t>
            </w:r>
          </w:p>
        </w:tc>
        <w:tc>
          <w:tcPr>
            <w:tcW w:type="dxa" w:w="1008"/>
            <w:tcMar>
              <w:top w:w="110" w:type="dxa"/>
              <w:left w:w="160" w:type="dxa"/>
              <w:bottom w:w="110" w:type="dxa"/>
              <w:right w:w="160" w:type="dxa"/>
            </w:tcMar>
            <w:vAlign w:val="center"/>
          </w:tcPr>
          <w:p>
            <w:pPr>
              <w:spacing w:before="0" w:after="0" w:line="288" w:lineRule="auto"/>
            </w:pPr>
            <w:r/>
            <w:r>
              <w:rPr>
                <w:sz w:val="20"/>
              </w:rPr>
              <w:t>-0.050</w:t>
            </w:r>
          </w:p>
        </w:tc>
        <w:tc>
          <w:tcPr>
            <w:tcW w:type="dxa" w:w="4320"/>
            <w:tcMar>
              <w:top w:w="110" w:type="dxa"/>
              <w:left w:w="160" w:type="dxa"/>
              <w:bottom w:w="110" w:type="dxa"/>
              <w:right w:w="160" w:type="dxa"/>
            </w:tcMar>
            <w:vAlign w:val="center"/>
          </w:tcPr>
          <w:p>
            <w:pPr>
              <w:spacing w:before="0" w:after="0" w:line="288" w:lineRule="auto"/>
            </w:pPr>
            <w:r/>
            <w:r>
              <w:rPr>
                <w:sz w:val="20"/>
              </w:rPr>
              <w:t>Existing book carries the economy through the drought.</w:t>
            </w:r>
          </w:p>
        </w:tc>
      </w:tr>
      <w:tr>
        <w:tc>
          <w:tcPr>
            <w:tcW w:type="dxa" w:w="2736"/>
            <w:tcMar>
              <w:top w:w="110" w:type="dxa"/>
              <w:left w:w="160" w:type="dxa"/>
              <w:bottom w:w="110" w:type="dxa"/>
              <w:right w:w="160" w:type="dxa"/>
            </w:tcMar>
            <w:shd w:val="clear" w:color="auto" w:fill="F1F5F9"/>
            <w:vAlign w:val="center"/>
          </w:tcPr>
          <w:p>
            <w:pPr>
              <w:spacing w:before="0" w:after="0" w:line="288" w:lineRule="auto"/>
            </w:pPr>
            <w:r/>
            <w:r>
              <w:rPr>
                <w:b/>
                <w:sz w:val="20"/>
              </w:rPr>
              <w:t>Composite shock (bear bias + faster regime transitions)</w:t>
            </w:r>
          </w:p>
        </w:tc>
        <w:tc>
          <w:tcPr>
            <w:tcW w:type="dxa" w:w="1008"/>
            <w:tcMar>
              <w:top w:w="110" w:type="dxa"/>
              <w:left w:w="160" w:type="dxa"/>
              <w:bottom w:w="110" w:type="dxa"/>
              <w:right w:w="160" w:type="dxa"/>
            </w:tcMar>
            <w:shd w:val="clear" w:color="auto" w:fill="F1F5F9"/>
            <w:vAlign w:val="center"/>
          </w:tcPr>
          <w:p>
            <w:pPr>
              <w:spacing w:before="0" w:after="0" w:line="288" w:lineRule="auto"/>
            </w:pPr>
            <w:r/>
            <w:r>
              <w:rPr>
                <w:sz w:val="20"/>
              </w:rPr>
              <w:t>0.554</w:t>
            </w:r>
          </w:p>
        </w:tc>
        <w:tc>
          <w:tcPr>
            <w:tcW w:type="dxa" w:w="1008"/>
            <w:tcMar>
              <w:top w:w="110" w:type="dxa"/>
              <w:left w:w="160" w:type="dxa"/>
              <w:bottom w:w="110" w:type="dxa"/>
              <w:right w:w="160" w:type="dxa"/>
            </w:tcMar>
            <w:shd w:val="clear" w:color="auto" w:fill="F1F5F9"/>
            <w:vAlign w:val="center"/>
          </w:tcPr>
          <w:p>
            <w:pPr>
              <w:spacing w:before="0" w:after="0" w:line="288" w:lineRule="auto"/>
            </w:pPr>
            <w:r/>
            <w:r>
              <w:rPr>
                <w:sz w:val="20"/>
              </w:rPr>
              <w:t>+0.039</w:t>
            </w:r>
          </w:p>
        </w:tc>
        <w:tc>
          <w:tcPr>
            <w:tcW w:type="dxa" w:w="4320"/>
            <w:tcMar>
              <w:top w:w="110" w:type="dxa"/>
              <w:left w:w="160" w:type="dxa"/>
              <w:bottom w:w="110" w:type="dxa"/>
              <w:right w:w="160" w:type="dxa"/>
            </w:tcMar>
            <w:shd w:val="clear" w:color="auto" w:fill="F1F5F9"/>
            <w:vAlign w:val="center"/>
          </w:tcPr>
          <w:p>
            <w:pPr>
              <w:spacing w:before="0" w:after="0" w:line="288" w:lineRule="auto"/>
            </w:pPr>
            <w:r/>
            <w:r>
              <w:rPr>
                <w:sz w:val="20"/>
              </w:rPr>
              <w:t>Counterintuitive uplift. Validator integrity and slashing benefit from bear conditions.</w:t>
            </w:r>
          </w:p>
        </w:tc>
      </w:tr>
    </w:tbl>
    <w:p/>
    <w:p>
      <w:pPr>
        <w:spacing w:before="360" w:after="120" w:line="264" w:lineRule="auto"/>
        <w:pBdr>
          <w:left w:val="single" w:sz="24" w:space="10" w:color="0F172A"/>
        </w:pBdr>
      </w:pPr>
      <w:r>
        <w:rPr>
          <w:b/>
          <w:color w:val="0F172A"/>
          <w:sz w:val="30"/>
        </w:rPr>
        <w:t xml:space="preserve">  13. 60-month long horizon and NRR recovery</w:t>
      </w:r>
    </w:p>
    <w:p>
      <w:pPr>
        <w:spacing w:before="0" w:after="200" w:line="348" w:lineRule="auto"/>
      </w:pPr>
      <w:r>
        <w:rPr>
          <w:b w:val="0"/>
          <w:i w:val="0"/>
          <w:sz w:val="22"/>
        </w:rPr>
        <w:t>Extending the simulation from 36 to 60 months reveals that the v4 economy compounds late. Net revenue retention recovers from 0.37 at month 36 to 0.56 at month 60 in the winner config, and from 0.14 to 0.25 in the full v4 baseline. The reason is structural: customer cohorts signed after month 24 (when the event stack has passed) survive at 100%, while early cohorts had been hit while their satisfaction was still ramping.</w:t>
      </w:r>
    </w:p>
    <w:p>
      <w:pPr>
        <w:spacing w:before="160" w:after="80" w:line="300" w:lineRule="auto"/>
        <w:jc w:val="center"/>
      </w:pPr>
      <w:r>
        <w:drawing>
          <wp:inline xmlns:a="http://schemas.openxmlformats.org/drawingml/2006/main" xmlns:pic="http://schemas.openxmlformats.org/drawingml/2006/picture">
            <wp:extent cx="5486400" cy="2769070"/>
            <wp:docPr id="6" name="Picture 6"/>
            <wp:cNvGraphicFramePr>
              <a:graphicFrameLocks noChangeAspect="1"/>
            </wp:cNvGraphicFramePr>
            <a:graphic>
              <a:graphicData uri="http://schemas.openxmlformats.org/drawingml/2006/picture">
                <pic:pic>
                  <pic:nvPicPr>
                    <pic:cNvPr id="0" name="chart_9_nrr.png"/>
                    <pic:cNvPicPr/>
                  </pic:nvPicPr>
                  <pic:blipFill>
                    <a:blip r:embed="rId14"/>
                    <a:stretch>
                      <a:fillRect/>
                    </a:stretch>
                  </pic:blipFill>
                  <pic:spPr>
                    <a:xfrm>
                      <a:off x="0" y="0"/>
                      <a:ext cx="5486400" cy="2769070"/>
                    </a:xfrm>
                    <a:prstGeom prst="rect"/>
                  </pic:spPr>
                </pic:pic>
              </a:graphicData>
            </a:graphic>
          </wp:inline>
        </w:drawing>
      </w:r>
    </w:p>
    <w:p>
      <w:pPr>
        <w:spacing w:before="0" w:after="240" w:line="288" w:lineRule="auto"/>
        <w:jc w:val="center"/>
      </w:pPr>
      <w:r>
        <w:rPr>
          <w:i/>
          <w:color w:val="475569"/>
          <w:sz w:val="18"/>
        </w:rPr>
        <w:t>Figure: NRR over the long horizon. Late-cohort survival pulls the blended NRR up between months 36 and 60.</w:t>
      </w:r>
    </w:p>
    <w:p>
      <w:pPr>
        <w:spacing w:before="160" w:after="80" w:line="300" w:lineRule="auto"/>
        <w:jc w:val="center"/>
      </w:pPr>
      <w:r>
        <w:drawing>
          <wp:inline xmlns:a="http://schemas.openxmlformats.org/drawingml/2006/main" xmlns:pic="http://schemas.openxmlformats.org/drawingml/2006/picture">
            <wp:extent cx="6126480" cy="2177799"/>
            <wp:docPr id="7" name="Picture 7"/>
            <wp:cNvGraphicFramePr>
              <a:graphicFrameLocks noChangeAspect="1"/>
            </wp:cNvGraphicFramePr>
            <a:graphic>
              <a:graphicData uri="http://schemas.openxmlformats.org/drawingml/2006/picture">
                <pic:pic>
                  <pic:nvPicPr>
                    <pic:cNvPr id="0" name="chart_6_trajectory.png"/>
                    <pic:cNvPicPr/>
                  </pic:nvPicPr>
                  <pic:blipFill>
                    <a:blip r:embed="rId15"/>
                    <a:stretch>
                      <a:fillRect/>
                    </a:stretch>
                  </pic:blipFill>
                  <pic:spPr>
                    <a:xfrm>
                      <a:off x="0" y="0"/>
                      <a:ext cx="6126480" cy="2177799"/>
                    </a:xfrm>
                    <a:prstGeom prst="rect"/>
                  </pic:spPr>
                </pic:pic>
              </a:graphicData>
            </a:graphic>
          </wp:inline>
        </w:drawing>
      </w:r>
    </w:p>
    <w:p>
      <w:pPr>
        <w:spacing w:before="0" w:after="240" w:line="288" w:lineRule="auto"/>
        <w:jc w:val="center"/>
      </w:pPr>
      <w:r>
        <w:rPr>
          <w:i/>
          <w:color w:val="475569"/>
          <w:sz w:val="18"/>
        </w:rPr>
        <w:t>Figure: 36-month trajectory of v4 no_personas (single MC seed). Cumulative revenue, operator population, and customer base.</w:t>
      </w:r>
    </w:p>
    <w:tbl>
      <w:tblPr>
        <w:tblW w:type="auto" w:w="0"/>
        <w:tblLayout w:type="fixed"/>
        <w:tblLook w:firstColumn="1" w:firstRow="1" w:lastColumn="0" w:lastRow="0" w:noHBand="0" w:noVBand="1" w:val="04A0"/>
      </w:tblPr>
      <w:tblGrid>
        <w:gridCol w:w="9518"/>
      </w:tblGrid>
      <w:tr>
        <w:tc>
          <w:tcPr>
            <w:tcW w:type="dxa" w:w="9518"/>
            <w:shd w:val="clear" w:color="auto" w:fill="F8FAFC"/>
            <w:tcMar>
              <w:top w:w="200" w:type="dxa"/>
              <w:left w:w="240" w:type="dxa"/>
              <w:bottom w:w="200" w:type="dxa"/>
              <w:right w:w="240" w:type="dxa"/>
            </w:tcMar>
            <w:tcBorders>
              <w:left w:val="single" w:sz="32" w:color="3B82F6"/>
            </w:tcBorders>
          </w:tcPr>
          <w:p>
            <w:pPr>
              <w:spacing w:before="0" w:after="80" w:line="288" w:lineRule="auto"/>
            </w:pPr>
            <w:r/>
            <w:r>
              <w:rPr>
                <w:b/>
                <w:color w:val="3B82F6"/>
                <w:sz w:val="22"/>
              </w:rPr>
              <w:t>Note on the trajectory chart</w:t>
            </w:r>
          </w:p>
          <w:p>
            <w:pPr>
              <w:spacing w:before="0" w:after="0" w:line="324" w:lineRule="auto"/>
            </w:pPr>
            <w:r>
              <w:rPr>
                <w:color w:val="0F172A"/>
                <w:sz w:val="20"/>
              </w:rPr>
              <w:t>The trajectory chart is plotted from a single Monte Carlo seed and shows ~$60M cumulative at month 36; the headline mean across seeds is $73M (sigma $13.6M). The single seed is shown for visual clarity; the table values are always the MC mean.</w:t>
            </w:r>
          </w:p>
        </w:tc>
      </w:tr>
    </w:tbl>
    <w:p/>
    <w:p>
      <w:r>
        <w:br w:type="page"/>
      </w:r>
    </w:p>
    <w:p>
      <w:pPr>
        <w:spacing w:before="360" w:after="120" w:line="264" w:lineRule="auto"/>
        <w:pBdr>
          <w:left w:val="single" w:sz="24" w:space="10" w:color="0F172A"/>
        </w:pBdr>
      </w:pPr>
      <w:r>
        <w:rPr>
          <w:b/>
          <w:color w:val="0F172A"/>
          <w:sz w:val="30"/>
        </w:rPr>
        <w:t xml:space="preserve">  14. Customer cohort survival</w:t>
      </w:r>
    </w:p>
    <w:p>
      <w:pPr>
        <w:spacing w:before="0" w:after="200" w:line="348" w:lineRule="auto"/>
      </w:pPr>
      <w:r>
        <w:rPr>
          <w:b w:val="0"/>
          <w:i w:val="0"/>
          <w:sz w:val="22"/>
        </w:rPr>
        <w:t>The clearest weakness in the v4 economy is early-cohort customer mortality. Customers signed in the first 18 months face the full event stack while their satisfaction trajectory is still ramping up. Cohorts signed after month 24 - when the bootstrap grace has expired and the network has supply at most tiers - survive at 100%.</w:t>
      </w:r>
    </w:p>
    <w:p>
      <w:pPr>
        <w:spacing w:before="160" w:after="80" w:line="300" w:lineRule="auto"/>
        <w:jc w:val="center"/>
      </w:pPr>
      <w:r>
        <w:drawing>
          <wp:inline xmlns:a="http://schemas.openxmlformats.org/drawingml/2006/main" xmlns:pic="http://schemas.openxmlformats.org/drawingml/2006/picture">
            <wp:extent cx="6035040" cy="2703446"/>
            <wp:docPr id="8" name="Picture 8"/>
            <wp:cNvGraphicFramePr>
              <a:graphicFrameLocks noChangeAspect="1"/>
            </wp:cNvGraphicFramePr>
            <a:graphic>
              <a:graphicData uri="http://schemas.openxmlformats.org/drawingml/2006/picture">
                <pic:pic>
                  <pic:nvPicPr>
                    <pic:cNvPr id="0" name="chart_8_cohort.png"/>
                    <pic:cNvPicPr/>
                  </pic:nvPicPr>
                  <pic:blipFill>
                    <a:blip r:embed="rId16"/>
                    <a:stretch>
                      <a:fillRect/>
                    </a:stretch>
                  </pic:blipFill>
                  <pic:spPr>
                    <a:xfrm>
                      <a:off x="0" y="0"/>
                      <a:ext cx="6035040" cy="2703446"/>
                    </a:xfrm>
                    <a:prstGeom prst="rect"/>
                  </pic:spPr>
                </pic:pic>
              </a:graphicData>
            </a:graphic>
          </wp:inline>
        </w:drawing>
      </w:r>
    </w:p>
    <w:p>
      <w:pPr>
        <w:spacing w:before="0" w:after="240" w:line="288" w:lineRule="auto"/>
        <w:jc w:val="center"/>
      </w:pPr>
      <w:r>
        <w:rPr>
          <w:i/>
          <w:color w:val="475569"/>
          <w:sz w:val="18"/>
        </w:rPr>
        <w:t>Figure: Cohort survival by signing month. Cohorts signed before m18 face the full event stack while still in their satisfaction ramp.</w:t>
      </w:r>
    </w:p>
    <w:p>
      <w:pPr>
        <w:spacing w:before="240" w:after="80" w:line="276" w:lineRule="auto"/>
      </w:pPr>
      <w:r>
        <w:rPr>
          <w:b/>
          <w:color w:val="0F172A"/>
          <w:sz w:val="24"/>
        </w:rPr>
        <w:t>Action items to recover ~half of NRR</w:t>
      </w:r>
    </w:p>
    <w:p>
      <w:pPr>
        <w:pStyle w:val="ListBullet"/>
        <w:spacing w:before="0" w:after="60" w:line="312" w:lineRule="auto"/>
      </w:pPr>
      <w:r>
        <w:rPr>
          <w:b/>
        </w:rPr>
        <w:t>Operational fix:</w:t>
      </w:r>
      <w:r>
        <w:t xml:space="preserve"> Extend the bootstrap grace window for design partners from 12 to 24 months. Real enterprise customers do not churn over three bad months early in a relationship.</w:t>
      </w:r>
    </w:p>
    <w:p>
      <w:pPr>
        <w:pStyle w:val="ListBullet"/>
        <w:spacing w:before="0" w:after="60" w:line="312" w:lineRule="auto"/>
      </w:pPr>
      <w:r>
        <w:rPr>
          <w:b/>
        </w:rPr>
        <w:t>Calendar fix:</w:t>
      </w:r>
      <w:r>
        <w:t xml:space="preserve"> Delay the first event firing from month 18 to month 24. The current schedule is conservative; pushing it back lets early cohorts reach maturity before the event stack hits.</w:t>
      </w:r>
    </w:p>
    <w:p>
      <w:pPr>
        <w:pStyle w:val="ListBullet"/>
        <w:spacing w:before="0" w:after="60" w:line="312" w:lineRule="auto"/>
      </w:pPr>
      <w:r>
        <w:rPr>
          <w:b/>
        </w:rPr>
        <w:t>Modeling fix:</w:t>
      </w:r>
      <w:r>
        <w:t xml:space="preserve"> Add a 'relationship retention' satisfaction floor for design partners and named accounts. Most B2B SaaS contracts have multi-year terms; the simulation currently treats every month as an independent decision.</w:t>
      </w:r>
    </w:p>
    <w:p>
      <w:pPr>
        <w:spacing w:before="360" w:after="120" w:line="264" w:lineRule="auto"/>
        <w:pBdr>
          <w:left w:val="single" w:sz="24" w:space="10" w:color="0F172A"/>
        </w:pBdr>
      </w:pPr>
      <w:r>
        <w:rPr>
          <w:b/>
          <w:color w:val="0F172A"/>
          <w:sz w:val="30"/>
        </w:rPr>
        <w:t xml:space="preserve">  15. Macro behavior</w:t>
      </w:r>
    </w:p>
    <w:p>
      <w:pPr>
        <w:spacing w:before="0" w:after="200" w:line="348" w:lineRule="auto"/>
      </w:pPr>
      <w:r>
        <w:rPr>
          <w:b w:val="0"/>
          <w:i w:val="0"/>
          <w:sz w:val="22"/>
        </w:rPr>
        <w:t>The macro pillar produces the price surface and regime structure that the rest of the system reacts to. The chart below shows token price under sentiment regime shifts (top) and AMM pool drift over the 36-month horizon (bottom). The bear band corresponds to a sustained sentiment regime; the price recovers as the regime flips back to bull and customer revenue continues to flow into treasury.</w:t>
      </w:r>
    </w:p>
    <w:p>
      <w:pPr>
        <w:spacing w:before="160" w:after="80" w:line="300" w:lineRule="auto"/>
        <w:jc w:val="center"/>
      </w:pPr>
      <w:r>
        <w:drawing>
          <wp:inline xmlns:a="http://schemas.openxmlformats.org/drawingml/2006/main" xmlns:pic="http://schemas.openxmlformats.org/drawingml/2006/picture">
            <wp:extent cx="6035040" cy="3231253"/>
            <wp:docPr id="9" name="Picture 9"/>
            <wp:cNvGraphicFramePr>
              <a:graphicFrameLocks noChangeAspect="1"/>
            </wp:cNvGraphicFramePr>
            <a:graphic>
              <a:graphicData uri="http://schemas.openxmlformats.org/drawingml/2006/picture">
                <pic:pic>
                  <pic:nvPicPr>
                    <pic:cNvPr id="0" name="chart_7_macro.png"/>
                    <pic:cNvPicPr/>
                  </pic:nvPicPr>
                  <pic:blipFill>
                    <a:blip r:embed="rId17"/>
                    <a:stretch>
                      <a:fillRect/>
                    </a:stretch>
                  </pic:blipFill>
                  <pic:spPr>
                    <a:xfrm>
                      <a:off x="0" y="0"/>
                      <a:ext cx="6035040" cy="3231253"/>
                    </a:xfrm>
                    <a:prstGeom prst="rect"/>
                  </pic:spPr>
                </pic:pic>
              </a:graphicData>
            </a:graphic>
          </wp:inline>
        </w:drawing>
      </w:r>
    </w:p>
    <w:p>
      <w:pPr>
        <w:spacing w:before="0" w:after="240" w:line="288" w:lineRule="auto"/>
        <w:jc w:val="center"/>
      </w:pPr>
      <w:r>
        <w:rPr>
          <w:i/>
          <w:color w:val="475569"/>
          <w:sz w:val="18"/>
        </w:rPr>
        <w:t>Figure: Top: token price with bear-regime bands. Bottom: AMM pool drift. The token pool depletes as operators sell into the AMM; the USD pool grows.</w:t>
      </w:r>
    </w:p>
    <w:p>
      <w:r>
        <w:br w:type="page"/>
      </w:r>
    </w:p>
    <w:p>
      <w:pPr>
        <w:spacing w:before="80" w:after="240" w:line="264" w:lineRule="auto"/>
        <w:pBdr>
          <w:bottom w:val="single" w:sz="8" w:space="6" w:color="0F172A"/>
        </w:pBdr>
      </w:pPr>
      <w:r>
        <w:rPr>
          <w:b/>
          <w:color w:val="0F172A"/>
          <w:sz w:val="44"/>
        </w:rPr>
        <w:t>Part IV  -  Recommendations and what comes next</w:t>
      </w:r>
    </w:p>
    <w:p>
      <w:pPr>
        <w:spacing w:before="360" w:after="120" w:line="264" w:lineRule="auto"/>
        <w:pBdr>
          <w:left w:val="single" w:sz="24" w:space="10" w:color="0F172A"/>
        </w:pBdr>
      </w:pPr>
      <w:r>
        <w:rPr>
          <w:b/>
          <w:color w:val="0F172A"/>
          <w:sz w:val="30"/>
        </w:rPr>
        <w:t xml:space="preserve">  16. Two configurations for stakeholder use</w:t>
      </w:r>
    </w:p>
    <w:p>
      <w:pPr>
        <w:spacing w:before="0" w:after="200" w:line="348" w:lineRule="auto"/>
      </w:pPr>
      <w:r>
        <w:rPr>
          <w:b w:val="0"/>
          <w:i w:val="0"/>
          <w:sz w:val="22"/>
        </w:rPr>
        <w:t>Both configurations are simulation-validated and defensible. The choice depends on which audience you are addressing and what story you are telling.</w:t>
      </w:r>
    </w:p>
    <w:p>
      <w:pPr>
        <w:spacing w:before="240" w:after="80" w:line="276" w:lineRule="auto"/>
      </w:pPr>
      <w:r>
        <w:rPr>
          <w:b/>
          <w:color w:val="10B981"/>
          <w:sz w:val="24"/>
        </w:rPr>
        <w:t>Option A  -  Headline configuration (v4 no_personas)</w:t>
      </w:r>
    </w:p>
    <w:p>
      <w:pPr>
        <w:spacing w:before="0" w:after="160" w:line="348" w:lineRule="auto"/>
      </w:pPr>
      <w:r>
        <w:rPr>
          <w:b w:val="0"/>
          <w:i w:val="0"/>
          <w:sz w:val="22"/>
        </w:rPr>
        <w:t>Maximum composite score, 5x revenue at 60 months, all four supplemental metrics unlocked (top-3 concentration, NRR, segment mix, sentiment resilience). Use this configuration for investor materials, board updates, and forward-looking commercial narrative. The trade-off is that it does not model operator persona heterogeneity - this is fine for headline numbers but would be the first thing a skeptical analyst questions.</w:t>
      </w:r>
    </w:p>
    <w:p>
      <w:pPr>
        <w:spacing w:before="240" w:after="80" w:line="276" w:lineRule="auto"/>
      </w:pPr>
      <w:r>
        <w:rPr>
          <w:b/>
          <w:color w:val="F59E0B"/>
          <w:sz w:val="24"/>
        </w:rPr>
        <w:t>Option B  -  Conservative configuration (v4 baseline)</w:t>
      </w:r>
    </w:p>
    <w:p>
      <w:pPr>
        <w:spacing w:before="0" w:after="160" w:line="348" w:lineRule="auto"/>
      </w:pPr>
      <w:r>
        <w:rPr>
          <w:b w:val="0"/>
          <w:i w:val="0"/>
          <w:sz w:val="22"/>
        </w:rPr>
        <w:t>Lower composite (0.515 at 36mo, 0.783 at 60mo) and lower revenue ($26M / $122M) because 60% of operators are modeled as Casual personas and rarely grind to T4+. This is more behaviorally realistic and harder to attack on assumptions. Use this configuration for risk modeling, stress testing, and any conversation with skeptical commercial analysts.</w:t>
      </w:r>
    </w:p>
    <w:tbl>
      <w:tblPr>
        <w:tblW w:type="auto" w:w="0"/>
        <w:tblLayout w:type="fixed"/>
        <w:tblLook w:firstColumn="1" w:firstRow="1" w:lastColumn="0" w:lastRow="0" w:noHBand="0" w:noVBand="1" w:val="04A0"/>
      </w:tblPr>
      <w:tblGrid>
        <w:gridCol w:w="9518"/>
      </w:tblGrid>
      <w:tr>
        <w:tc>
          <w:tcPr>
            <w:tcW w:type="dxa" w:w="9518"/>
            <w:shd w:val="clear" w:color="auto" w:fill="F8FAFC"/>
            <w:tcMar>
              <w:top w:w="200" w:type="dxa"/>
              <w:left w:w="240" w:type="dxa"/>
              <w:bottom w:w="200" w:type="dxa"/>
              <w:right w:w="240" w:type="dxa"/>
            </w:tcMar>
            <w:tcBorders>
              <w:left w:val="single" w:sz="32" w:color="10B981"/>
            </w:tcBorders>
          </w:tcPr>
          <w:p>
            <w:pPr>
              <w:spacing w:before="0" w:after="80" w:line="288" w:lineRule="auto"/>
            </w:pPr>
            <w:r/>
            <w:r>
              <w:rPr>
                <w:b/>
                <w:color w:val="10B981"/>
                <w:sz w:val="22"/>
              </w:rPr>
              <w:t>Recommended hybrid</w:t>
            </w:r>
          </w:p>
          <w:p>
            <w:pPr>
              <w:spacing w:before="0" w:after="0" w:line="324" w:lineRule="auto"/>
            </w:pPr>
            <w:r>
              <w:rPr>
                <w:color w:val="0F172A"/>
                <w:sz w:val="20"/>
              </w:rPr>
              <w:t>Lead with Option A in investor materials. Use Option B for risk modeling, stress testing, and any conversation with skeptical commercial analysts. Both configs are produced by the same engine and only differ in whether the personas pillar is active. We can always run Option B as a sanity check on any Option A claim.</w:t>
            </w:r>
          </w:p>
        </w:tc>
      </w:tr>
    </w:tbl>
    <w:p/>
    <w:p>
      <w:pPr>
        <w:spacing w:before="360" w:after="120" w:line="264" w:lineRule="auto"/>
        <w:pBdr>
          <w:left w:val="single" w:sz="24" w:space="10" w:color="0F172A"/>
        </w:pBdr>
      </w:pPr>
      <w:r>
        <w:rPr>
          <w:b/>
          <w:color w:val="0F172A"/>
          <w:sz w:val="30"/>
        </w:rPr>
        <w:t xml:space="preserve">  17. Open issues and next iterations</w:t>
      </w:r>
    </w:p>
    <w:p>
      <w:pPr>
        <w:spacing w:before="0" w:after="200" w:line="348" w:lineRule="auto"/>
      </w:pPr>
      <w:r>
        <w:rPr>
          <w:b w:val="0"/>
          <w:i w:val="0"/>
          <w:sz w:val="22"/>
        </w:rPr>
        <w:t>The simulation is finalized for v4. The following items are flagged for the next iteration; none are blockers for stakeholder use.</w:t>
      </w:r>
    </w:p>
    <w:p>
      <w:pPr>
        <w:spacing w:before="0" w:after="160" w:line="336" w:lineRule="auto"/>
      </w:pPr>
      <w:r>
        <w:rPr>
          <w:b/>
          <w:sz w:val="22"/>
        </w:rPr>
        <w:t xml:space="preserve">Early-cohort customer mortality. </w:t>
      </w:r>
      <w:r>
        <w:rPr>
          <w:sz w:val="22"/>
        </w:rPr>
        <w:t>0% survival for m0-17 cohorts in v4_baseline. Fix candidates: 24-month grace for design partners, delaying first event to m24, or relationship-based retention. Highest expected NRR uplift among open items.</w:t>
      </w:r>
    </w:p>
    <w:p>
      <w:pPr>
        <w:spacing w:before="0" w:after="160" w:line="336" w:lineRule="auto"/>
      </w:pPr>
      <w:r>
        <w:rPr>
          <w:b/>
          <w:sz w:val="22"/>
        </w:rPr>
        <w:t xml:space="preserve">Sentiment_resilience metric instability. </w:t>
      </w:r>
      <w:r>
        <w:rPr>
          <w:sz w:val="22"/>
        </w:rPr>
        <w:t>Currently can blow up to 11+ when the simulation is dominantly bear; re-derive as score_in_bear / score_in_bull with proper weighting and a floor.</w:t>
      </w:r>
    </w:p>
    <w:p>
      <w:pPr>
        <w:spacing w:before="0" w:after="160" w:line="336" w:lineRule="auto"/>
      </w:pPr>
      <w:r>
        <w:rPr>
          <w:b/>
          <w:sz w:val="22"/>
        </w:rPr>
        <w:t xml:space="preserve">Persona policy is rule-based. </w:t>
      </w:r>
      <w:r>
        <w:rPr>
          <w:sz w:val="22"/>
        </w:rPr>
        <w:t>Decision probabilities are static per persona. Try adaptive policies (Q-learning or Bayesian optimization over the parameter space) to model how operators learn to play the system.</w:t>
      </w:r>
    </w:p>
    <w:p>
      <w:pPr>
        <w:spacing w:before="0" w:after="160" w:line="336" w:lineRule="auto"/>
      </w:pPr>
      <w:r>
        <w:rPr>
          <w:b/>
          <w:sz w:val="22"/>
        </w:rPr>
        <w:t xml:space="preserve">Customer x persona affinity is not modeled. </w:t>
      </w:r>
      <w:r>
        <w:rPr>
          <w:sz w:val="22"/>
        </w:rPr>
        <w:t>Healthcare contracts likely prefer Validator-tier operators; Robotics OEM contracts likely prefer HW Investor operators. The current model assigns work to any qualified operator regardless of persona.</w:t>
      </w:r>
    </w:p>
    <w:p>
      <w:pPr>
        <w:spacing w:before="0" w:after="160" w:line="336" w:lineRule="auto"/>
      </w:pPr>
      <w:r>
        <w:rPr>
          <w:b/>
          <w:sz w:val="22"/>
        </w:rPr>
        <w:t xml:space="preserve">AMM depth sweep. </w:t>
      </w:r>
      <w:r>
        <w:rPr>
          <w:sz w:val="22"/>
        </w:rPr>
        <w:t>Current AMM is seeded at $1M / 1M tokens (medium depth). Sweep $500K (shallow, more shock-prone) and $5M (deep, smoother) to quantify shock-volatility sensitivity.</w:t>
      </w:r>
    </w:p>
    <w:p>
      <w:pPr>
        <w:spacing w:before="0" w:after="160" w:line="336" w:lineRule="auto"/>
      </w:pPr>
      <w:r>
        <w:rPr>
          <w:b/>
          <w:sz w:val="22"/>
        </w:rPr>
        <w:t xml:space="preserve">Validator collusion stress test. </w:t>
      </w:r>
      <w:r>
        <w:rPr>
          <w:sz w:val="22"/>
        </w:rPr>
        <w:t>Currently only injected via ablation; not as a runtime detector. Add a stress that triggers coordinated false-positive validation among a fraction of validators.</w:t>
      </w:r>
    </w:p>
    <w:p>
      <w:r>
        <w:br w:type="page"/>
      </w:r>
    </w:p>
    <w:p>
      <w:pPr>
        <w:spacing w:before="80" w:after="240" w:line="264" w:lineRule="auto"/>
        <w:pBdr>
          <w:bottom w:val="single" w:sz="8" w:space="6" w:color="0F172A"/>
        </w:pBdr>
      </w:pPr>
      <w:r>
        <w:rPr>
          <w:b/>
          <w:color w:val="0F172A"/>
          <w:sz w:val="44"/>
        </w:rPr>
        <w:t>Appendix</w:t>
      </w:r>
    </w:p>
    <w:p>
      <w:pPr>
        <w:spacing w:before="360" w:after="120" w:line="264" w:lineRule="auto"/>
        <w:pBdr>
          <w:left w:val="single" w:sz="24" w:space="10" w:color="0F172A"/>
        </w:pBdr>
      </w:pPr>
      <w:r>
        <w:rPr>
          <w:b/>
          <w:color w:val="0F172A"/>
          <w:sz w:val="30"/>
        </w:rPr>
        <w:t xml:space="preserve">  A. Reproducibility and source files</w:t>
      </w:r>
    </w:p>
    <w:p>
      <w:pPr>
        <w:spacing w:before="0" w:after="200" w:line="348" w:lineRule="auto"/>
      </w:pPr>
      <w:r>
        <w:rPr>
          <w:b w:val="0"/>
          <w:i w:val="0"/>
          <w:sz w:val="22"/>
        </w:rPr>
        <w:t>All findings in this document are reproducible from the working directory. The engine is deterministic given a seed, and Monte Carlo seeds are documented in each experiment script.</w:t>
      </w:r>
    </w:p>
    <w:tbl>
      <w:tblPr>
        <w:tblW w:type="auto" w:w="0"/>
        <w:tblLayout w:type="fixed"/>
        <w:tblLook w:firstColumn="1" w:firstRow="1" w:lastColumn="0" w:lastRow="0" w:noHBand="0" w:noVBand="1" w:val="04A0"/>
      </w:tblPr>
      <w:tblGrid>
        <w:gridCol w:w="3173"/>
        <w:gridCol w:w="3173"/>
        <w:gridCol w:w="3173"/>
      </w:tblGrid>
      <w:tr>
        <w:tc>
          <w:tcPr>
            <w:tcW w:type="dxa" w:w="3173"/>
            <w:shd w:val="clear" w:color="auto" w:fill="0F172A"/>
            <w:tcMar>
              <w:top w:w="120" w:type="dxa"/>
              <w:left w:w="160" w:type="dxa"/>
              <w:bottom w:w="120" w:type="dxa"/>
              <w:right w:w="160" w:type="dxa"/>
            </w:tcMar>
            <w:vAlign w:val="center"/>
          </w:tcPr>
          <w:p>
            <w:pPr>
              <w:spacing w:before="0" w:after="0" w:line="264" w:lineRule="auto"/>
            </w:pPr>
            <w:r/>
            <w:r>
              <w:rPr>
                <w:b/>
                <w:color w:val="FFFFFF"/>
                <w:sz w:val="20"/>
              </w:rPr>
              <w:t>Run</w:t>
            </w:r>
          </w:p>
        </w:tc>
        <w:tc>
          <w:tcPr>
            <w:tcW w:type="dxa" w:w="3173"/>
            <w:shd w:val="clear" w:color="auto" w:fill="0F172A"/>
            <w:tcMar>
              <w:top w:w="120" w:type="dxa"/>
              <w:left w:w="160" w:type="dxa"/>
              <w:bottom w:w="120" w:type="dxa"/>
              <w:right w:w="160" w:type="dxa"/>
            </w:tcMar>
            <w:vAlign w:val="center"/>
          </w:tcPr>
          <w:p>
            <w:pPr>
              <w:spacing w:before="0" w:after="0" w:line="264" w:lineRule="auto"/>
            </w:pPr>
            <w:r/>
            <w:r>
              <w:rPr>
                <w:b/>
                <w:color w:val="FFFFFF"/>
                <w:sz w:val="20"/>
              </w:rPr>
              <w:t>Command</w:t>
            </w:r>
          </w:p>
        </w:tc>
        <w:tc>
          <w:tcPr>
            <w:tcW w:type="dxa" w:w="3173"/>
            <w:shd w:val="clear" w:color="auto" w:fill="0F172A"/>
            <w:tcMar>
              <w:top w:w="120" w:type="dxa"/>
              <w:left w:w="160" w:type="dxa"/>
              <w:bottom w:w="120" w:type="dxa"/>
              <w:right w:w="160" w:type="dxa"/>
            </w:tcMar>
            <w:vAlign w:val="center"/>
          </w:tcPr>
          <w:p>
            <w:pPr>
              <w:spacing w:before="0" w:after="0" w:line="264" w:lineRule="auto"/>
            </w:pPr>
            <w:r/>
            <w:r>
              <w:rPr>
                <w:b/>
                <w:color w:val="FFFFFF"/>
                <w:sz w:val="20"/>
              </w:rPr>
              <w:t>Approx. wall time</w:t>
            </w:r>
          </w:p>
        </w:tc>
      </w:tr>
      <w:tr>
        <w:tc>
          <w:tcPr>
            <w:tcW w:type="dxa" w:w="3173"/>
            <w:tcMar>
              <w:top w:w="110" w:type="dxa"/>
              <w:left w:w="160" w:type="dxa"/>
              <w:bottom w:w="110" w:type="dxa"/>
              <w:right w:w="160" w:type="dxa"/>
            </w:tcMar>
            <w:vAlign w:val="center"/>
          </w:tcPr>
          <w:p>
            <w:pPr>
              <w:spacing w:before="0" w:after="0" w:line="288" w:lineRule="auto"/>
            </w:pPr>
            <w:r/>
            <w:r>
              <w:rPr>
                <w:b/>
                <w:sz w:val="20"/>
              </w:rPr>
              <w:t>Single seed v4 baseline</w:t>
            </w:r>
          </w:p>
        </w:tc>
        <w:tc>
          <w:tcPr>
            <w:tcW w:type="dxa" w:w="3173"/>
            <w:tcMar>
              <w:top w:w="110" w:type="dxa"/>
              <w:left w:w="160" w:type="dxa"/>
              <w:bottom w:w="110" w:type="dxa"/>
              <w:right w:w="160" w:type="dxa"/>
            </w:tcMar>
            <w:vAlign w:val="center"/>
          </w:tcPr>
          <w:p>
            <w:pPr>
              <w:spacing w:before="0" w:after="0" w:line="288" w:lineRule="auto"/>
            </w:pPr>
            <w:r/>
            <w:r>
              <w:rPr>
                <w:sz w:val="20"/>
              </w:rPr>
              <w:t>python train_v4.py</w:t>
            </w:r>
          </w:p>
        </w:tc>
        <w:tc>
          <w:tcPr>
            <w:tcW w:type="dxa" w:w="3173"/>
            <w:tcMar>
              <w:top w:w="110" w:type="dxa"/>
              <w:left w:w="160" w:type="dxa"/>
              <w:bottom w:w="110" w:type="dxa"/>
              <w:right w:w="160" w:type="dxa"/>
            </w:tcMar>
            <w:vAlign w:val="center"/>
          </w:tcPr>
          <w:p>
            <w:pPr>
              <w:spacing w:before="0" w:after="0" w:line="288" w:lineRule="auto"/>
            </w:pPr>
            <w:r/>
            <w:r>
              <w:rPr>
                <w:sz w:val="20"/>
              </w:rPr>
              <w:t>~2 min</w:t>
            </w:r>
          </w:p>
        </w:tc>
      </w:tr>
      <w:tr>
        <w:tc>
          <w:tcPr>
            <w:tcW w:type="dxa" w:w="3173"/>
            <w:tcMar>
              <w:top w:w="110" w:type="dxa"/>
              <w:left w:w="160" w:type="dxa"/>
              <w:bottom w:w="110" w:type="dxa"/>
              <w:right w:w="160" w:type="dxa"/>
            </w:tcMar>
            <w:shd w:val="clear" w:color="auto" w:fill="F1F5F9"/>
            <w:vAlign w:val="center"/>
          </w:tcPr>
          <w:p>
            <w:pPr>
              <w:spacing w:before="0" w:after="0" w:line="288" w:lineRule="auto"/>
            </w:pPr>
            <w:r/>
            <w:r>
              <w:rPr>
                <w:b/>
                <w:sz w:val="20"/>
              </w:rPr>
              <w:t>9-cell pillar ablation</w:t>
            </w:r>
          </w:p>
        </w:tc>
        <w:tc>
          <w:tcPr>
            <w:tcW w:type="dxa" w:w="3173"/>
            <w:tcMar>
              <w:top w:w="110" w:type="dxa"/>
              <w:left w:w="160" w:type="dxa"/>
              <w:bottom w:w="110" w:type="dxa"/>
              <w:right w:w="160" w:type="dxa"/>
            </w:tcMar>
            <w:shd w:val="clear" w:color="auto" w:fill="F1F5F9"/>
            <w:vAlign w:val="center"/>
          </w:tcPr>
          <w:p>
            <w:pPr>
              <w:spacing w:before="0" w:after="0" w:line="288" w:lineRule="auto"/>
            </w:pPr>
            <w:r/>
            <w:r>
              <w:rPr>
                <w:sz w:val="20"/>
              </w:rPr>
              <w:t>python experiments_v4.py 3</w:t>
            </w:r>
          </w:p>
        </w:tc>
        <w:tc>
          <w:tcPr>
            <w:tcW w:type="dxa" w:w="3173"/>
            <w:tcMar>
              <w:top w:w="110" w:type="dxa"/>
              <w:left w:w="160" w:type="dxa"/>
              <w:bottom w:w="110" w:type="dxa"/>
              <w:right w:w="160" w:type="dxa"/>
            </w:tcMar>
            <w:shd w:val="clear" w:color="auto" w:fill="F1F5F9"/>
            <w:vAlign w:val="center"/>
          </w:tcPr>
          <w:p>
            <w:pPr>
              <w:spacing w:before="0" w:after="0" w:line="288" w:lineRule="auto"/>
            </w:pPr>
            <w:r/>
            <w:r>
              <w:rPr>
                <w:sz w:val="20"/>
              </w:rPr>
              <w:t>~50 min (MC=3)</w:t>
            </w:r>
          </w:p>
        </w:tc>
      </w:tr>
      <w:tr>
        <w:tc>
          <w:tcPr>
            <w:tcW w:type="dxa" w:w="3173"/>
            <w:tcMar>
              <w:top w:w="110" w:type="dxa"/>
              <w:left w:w="160" w:type="dxa"/>
              <w:bottom w:w="110" w:type="dxa"/>
              <w:right w:w="160" w:type="dxa"/>
            </w:tcMar>
            <w:vAlign w:val="center"/>
          </w:tcPr>
          <w:p>
            <w:pPr>
              <w:spacing w:before="0" w:after="0" w:line="288" w:lineRule="auto"/>
            </w:pPr>
            <w:r/>
            <w:r>
              <w:rPr>
                <w:b/>
                <w:sz w:val="20"/>
              </w:rPr>
              <w:t>Tuned-persona iteration</w:t>
            </w:r>
          </w:p>
        </w:tc>
        <w:tc>
          <w:tcPr>
            <w:tcW w:type="dxa" w:w="3173"/>
            <w:tcMar>
              <w:top w:w="110" w:type="dxa"/>
              <w:left w:w="160" w:type="dxa"/>
              <w:bottom w:w="110" w:type="dxa"/>
              <w:right w:w="160" w:type="dxa"/>
            </w:tcMar>
            <w:vAlign w:val="center"/>
          </w:tcPr>
          <w:p>
            <w:pPr>
              <w:spacing w:before="0" w:after="0" w:line="288" w:lineRule="auto"/>
            </w:pPr>
            <w:r/>
            <w:r>
              <w:rPr>
                <w:sz w:val="20"/>
              </w:rPr>
              <w:t>python experiments_v4_iter2.py 2</w:t>
            </w:r>
          </w:p>
        </w:tc>
        <w:tc>
          <w:tcPr>
            <w:tcW w:type="dxa" w:w="3173"/>
            <w:tcMar>
              <w:top w:w="110" w:type="dxa"/>
              <w:left w:w="160" w:type="dxa"/>
              <w:bottom w:w="110" w:type="dxa"/>
              <w:right w:w="160" w:type="dxa"/>
            </w:tcMar>
            <w:vAlign w:val="center"/>
          </w:tcPr>
          <w:p>
            <w:pPr>
              <w:spacing w:before="0" w:after="0" w:line="288" w:lineRule="auto"/>
            </w:pPr>
            <w:r/>
            <w:r>
              <w:rPr>
                <w:sz w:val="20"/>
              </w:rPr>
              <w:t>~30 min</w:t>
            </w:r>
          </w:p>
        </w:tc>
      </w:tr>
      <w:tr>
        <w:tc>
          <w:tcPr>
            <w:tcW w:type="dxa" w:w="3173"/>
            <w:tcMar>
              <w:top w:w="110" w:type="dxa"/>
              <w:left w:w="160" w:type="dxa"/>
              <w:bottom w:w="110" w:type="dxa"/>
              <w:right w:w="160" w:type="dxa"/>
            </w:tcMar>
            <w:shd w:val="clear" w:color="auto" w:fill="F1F5F9"/>
            <w:vAlign w:val="center"/>
          </w:tcPr>
          <w:p>
            <w:pPr>
              <w:spacing w:before="0" w:after="0" w:line="288" w:lineRule="auto"/>
            </w:pPr>
            <w:r/>
            <w:r>
              <w:rPr>
                <w:b/>
                <w:sz w:val="20"/>
              </w:rPr>
              <w:t>60mo long-horizon sweep</w:t>
            </w:r>
          </w:p>
        </w:tc>
        <w:tc>
          <w:tcPr>
            <w:tcW w:type="dxa" w:w="3173"/>
            <w:tcMar>
              <w:top w:w="110" w:type="dxa"/>
              <w:left w:w="160" w:type="dxa"/>
              <w:bottom w:w="110" w:type="dxa"/>
              <w:right w:w="160" w:type="dxa"/>
            </w:tcMar>
            <w:shd w:val="clear" w:color="auto" w:fill="F1F5F9"/>
            <w:vAlign w:val="center"/>
          </w:tcPr>
          <w:p>
            <w:pPr>
              <w:spacing w:before="0" w:after="0" w:line="288" w:lineRule="auto"/>
            </w:pPr>
            <w:r/>
            <w:r>
              <w:rPr>
                <w:sz w:val="20"/>
              </w:rPr>
              <w:t>python experiments_v4_iter3.py 2</w:t>
            </w:r>
          </w:p>
        </w:tc>
        <w:tc>
          <w:tcPr>
            <w:tcW w:type="dxa" w:w="3173"/>
            <w:tcMar>
              <w:top w:w="110" w:type="dxa"/>
              <w:left w:w="160" w:type="dxa"/>
              <w:bottom w:w="110" w:type="dxa"/>
              <w:right w:w="160" w:type="dxa"/>
            </w:tcMar>
            <w:shd w:val="clear" w:color="auto" w:fill="F1F5F9"/>
            <w:vAlign w:val="center"/>
          </w:tcPr>
          <w:p>
            <w:pPr>
              <w:spacing w:before="0" w:after="0" w:line="288" w:lineRule="auto"/>
            </w:pPr>
            <w:r/>
            <w:r>
              <w:rPr>
                <w:sz w:val="20"/>
              </w:rPr>
              <w:t>~60 min</w:t>
            </w:r>
          </w:p>
        </w:tc>
      </w:tr>
      <w:tr>
        <w:tc>
          <w:tcPr>
            <w:tcW w:type="dxa" w:w="3173"/>
            <w:tcMar>
              <w:top w:w="110" w:type="dxa"/>
              <w:left w:w="160" w:type="dxa"/>
              <w:bottom w:w="110" w:type="dxa"/>
              <w:right w:w="160" w:type="dxa"/>
            </w:tcMar>
            <w:vAlign w:val="center"/>
          </w:tcPr>
          <w:p>
            <w:pPr>
              <w:spacing w:before="0" w:after="0" w:line="288" w:lineRule="auto"/>
            </w:pPr>
            <w:r/>
            <w:r>
              <w:rPr>
                <w:b/>
                <w:sz w:val="20"/>
              </w:rPr>
              <w:t>Regenerate this report</w:t>
            </w:r>
          </w:p>
        </w:tc>
        <w:tc>
          <w:tcPr>
            <w:tcW w:type="dxa" w:w="3173"/>
            <w:tcMar>
              <w:top w:w="110" w:type="dxa"/>
              <w:left w:w="160" w:type="dxa"/>
              <w:bottom w:w="110" w:type="dxa"/>
              <w:right w:w="160" w:type="dxa"/>
            </w:tcMar>
            <w:vAlign w:val="center"/>
          </w:tcPr>
          <w:p>
            <w:pPr>
              <w:spacing w:before="0" w:after="0" w:line="288" w:lineRule="auto"/>
            </w:pPr>
            <w:r/>
            <w:r>
              <w:rPr>
                <w:sz w:val="20"/>
              </w:rPr>
              <w:t>python build_report.py</w:t>
            </w:r>
          </w:p>
        </w:tc>
        <w:tc>
          <w:tcPr>
            <w:tcW w:type="dxa" w:w="3173"/>
            <w:tcMar>
              <w:top w:w="110" w:type="dxa"/>
              <w:left w:w="160" w:type="dxa"/>
              <w:bottom w:w="110" w:type="dxa"/>
              <w:right w:w="160" w:type="dxa"/>
            </w:tcMar>
            <w:vAlign w:val="center"/>
          </w:tcPr>
          <w:p>
            <w:pPr>
              <w:spacing w:before="0" w:after="0" w:line="288" w:lineRule="auto"/>
            </w:pPr>
            <w:r/>
            <w:r>
              <w:rPr>
                <w:sz w:val="20"/>
              </w:rPr>
              <w:t>~30 sec</w:t>
            </w:r>
          </w:p>
        </w:tc>
      </w:tr>
    </w:tbl>
    <w:p/>
    <w:p>
      <w:pPr>
        <w:spacing w:before="240" w:after="80" w:line="276" w:lineRule="auto"/>
      </w:pPr>
      <w:r>
        <w:rPr>
          <w:b/>
          <w:color w:val="0F172A"/>
          <w:sz w:val="24"/>
        </w:rPr>
        <w:t>Source files in working directory</w:t>
      </w:r>
    </w:p>
    <w:p>
      <w:pPr>
        <w:pStyle w:val="ListBullet"/>
        <w:spacing w:before="0" w:after="40" w:line="312" w:lineRule="auto"/>
      </w:pPr>
      <w:r>
        <w:rPr>
          <w:rFonts w:ascii="Consolas" w:hAnsi="Consolas"/>
          <w:b/>
          <w:sz w:val="20"/>
        </w:rPr>
        <w:t>prepare_v4.py</w:t>
      </w:r>
      <w:r>
        <w:rPr>
          <w:sz w:val="20"/>
        </w:rPr>
        <w:t xml:space="preserve">  -  Three-pillar simulation engine. ~1,100 lines.</w:t>
      </w:r>
    </w:p>
    <w:p>
      <w:pPr>
        <w:pStyle w:val="ListBullet"/>
        <w:spacing w:before="0" w:after="40" w:line="312" w:lineRule="auto"/>
      </w:pPr>
      <w:r>
        <w:rPr>
          <w:rFonts w:ascii="Consolas" w:hAnsi="Consolas"/>
          <w:b/>
          <w:sz w:val="20"/>
        </w:rPr>
        <w:t>operators_v4.py</w:t>
      </w:r>
      <w:r>
        <w:rPr>
          <w:sz w:val="20"/>
        </w:rPr>
        <w:t xml:space="preserve">  -  Personas, learning curves, decision policy, referrals.</w:t>
      </w:r>
    </w:p>
    <w:p>
      <w:pPr>
        <w:pStyle w:val="ListBullet"/>
        <w:spacing w:before="0" w:after="40" w:line="312" w:lineRule="auto"/>
      </w:pPr>
      <w:r>
        <w:rPr>
          <w:rFonts w:ascii="Consolas" w:hAnsi="Consolas"/>
          <w:b/>
          <w:sz w:val="20"/>
        </w:rPr>
        <w:t>customers.py</w:t>
      </w:r>
      <w:r>
        <w:rPr>
          <w:sz w:val="20"/>
        </w:rPr>
        <w:t xml:space="preserve">  -  Four-segment customer model, Pareto sizing, satisfaction-driven churn and expansion.</w:t>
      </w:r>
    </w:p>
    <w:p>
      <w:pPr>
        <w:pStyle w:val="ListBullet"/>
        <w:spacing w:before="0" w:after="40" w:line="312" w:lineRule="auto"/>
      </w:pPr>
      <w:r>
        <w:rPr>
          <w:rFonts w:ascii="Consolas" w:hAnsi="Consolas"/>
          <w:b/>
          <w:sz w:val="20"/>
        </w:rPr>
        <w:t>macro.py</w:t>
      </w:r>
      <w:r>
        <w:rPr>
          <w:sz w:val="20"/>
        </w:rPr>
        <w:t xml:space="preserve">  -  Sentiment HMM, x*y=k AMM, event schedule, era detection.</w:t>
      </w:r>
    </w:p>
    <w:p>
      <w:pPr>
        <w:pStyle w:val="ListBullet"/>
        <w:spacing w:before="0" w:after="40" w:line="312" w:lineRule="auto"/>
      </w:pPr>
      <w:r>
        <w:rPr>
          <w:rFonts w:ascii="Consolas" w:hAnsi="Consolas"/>
          <w:b/>
          <w:sz w:val="20"/>
        </w:rPr>
        <w:t>validation.py</w:t>
      </w:r>
      <w:r>
        <w:rPr>
          <w:sz w:val="20"/>
        </w:rPr>
        <w:t xml:space="preserve">  -  Multi-witness consensus and graduated slashing (inherited from v3).</w:t>
      </w:r>
    </w:p>
    <w:p>
      <w:pPr>
        <w:pStyle w:val="ListBullet"/>
        <w:spacing w:before="0" w:after="40" w:line="312" w:lineRule="auto"/>
      </w:pPr>
      <w:r>
        <w:rPr>
          <w:rFonts w:ascii="Consolas" w:hAnsi="Consolas"/>
          <w:b/>
          <w:sz w:val="20"/>
        </w:rPr>
        <w:t>train_v4.py</w:t>
      </w:r>
      <w:r>
        <w:rPr>
          <w:sz w:val="20"/>
        </w:rPr>
        <w:t xml:space="preserve">  -  v4 PARAMS dict and the winner configuration baseline.</w:t>
      </w:r>
    </w:p>
    <w:p>
      <w:pPr>
        <w:pStyle w:val="ListBullet"/>
        <w:spacing w:before="0" w:after="40" w:line="312" w:lineRule="auto"/>
      </w:pPr>
      <w:r>
        <w:rPr>
          <w:rFonts w:ascii="Consolas" w:hAnsi="Consolas"/>
          <w:b/>
          <w:sz w:val="20"/>
        </w:rPr>
        <w:t>experiments_v4.py</w:t>
      </w:r>
      <w:r>
        <w:rPr>
          <w:sz w:val="20"/>
        </w:rPr>
        <w:t xml:space="preserve">  -  Five-cell pillar ablation and four-scenario stress sweep.</w:t>
      </w:r>
    </w:p>
    <w:p>
      <w:pPr>
        <w:pStyle w:val="ListBullet"/>
        <w:spacing w:before="0" w:after="40" w:line="312" w:lineRule="auto"/>
      </w:pPr>
      <w:r>
        <w:rPr>
          <w:rFonts w:ascii="Consolas" w:hAnsi="Consolas"/>
          <w:b/>
          <w:sz w:val="20"/>
        </w:rPr>
        <w:t>experiments_v4_iter2.py</w:t>
      </w:r>
      <w:r>
        <w:rPr>
          <w:sz w:val="20"/>
        </w:rPr>
        <w:t xml:space="preserve">  -  Tuned-persona iteration (40/40/15/5 share).</w:t>
      </w:r>
    </w:p>
    <w:p>
      <w:pPr>
        <w:pStyle w:val="ListBullet"/>
        <w:spacing w:before="0" w:after="40" w:line="312" w:lineRule="auto"/>
      </w:pPr>
      <w:r>
        <w:rPr>
          <w:rFonts w:ascii="Consolas" w:hAnsi="Consolas"/>
          <w:b/>
          <w:sz w:val="20"/>
        </w:rPr>
        <w:t>experiments_v4_iter3.py</w:t>
      </w:r>
      <w:r>
        <w:rPr>
          <w:sz w:val="20"/>
        </w:rPr>
        <w:t xml:space="preserve">  -  60-month long-horizon sweep.</w:t>
      </w:r>
    </w:p>
    <w:p>
      <w:pPr>
        <w:pStyle w:val="ListBullet"/>
        <w:spacing w:before="0" w:after="40" w:line="312" w:lineRule="auto"/>
      </w:pPr>
      <w:r>
        <w:rPr>
          <w:rFonts w:ascii="Consolas" w:hAnsi="Consolas"/>
          <w:b/>
          <w:sz w:val="20"/>
        </w:rPr>
        <w:t>v4_experiment_results.json</w:t>
      </w:r>
      <w:r>
        <w:rPr>
          <w:sz w:val="20"/>
        </w:rPr>
        <w:t xml:space="preserve">  -  Raw ablation and stress data.</w:t>
      </w:r>
    </w:p>
    <w:p>
      <w:pPr>
        <w:pStyle w:val="ListBullet"/>
        <w:spacing w:before="0" w:after="40" w:line="312" w:lineRule="auto"/>
      </w:pPr>
      <w:r>
        <w:rPr>
          <w:rFonts w:ascii="Consolas" w:hAnsi="Consolas"/>
          <w:b/>
          <w:sz w:val="20"/>
        </w:rPr>
        <w:t>v4_iter3_results.json</w:t>
      </w:r>
      <w:r>
        <w:rPr>
          <w:sz w:val="20"/>
        </w:rPr>
        <w:t xml:space="preserve">  -  Raw 60-month long-horizon data.</w:t>
      </w:r>
    </w:p>
    <w:p>
      <w:pPr>
        <w:pStyle w:val="ListBullet"/>
        <w:spacing w:before="0" w:after="40" w:line="312" w:lineRule="auto"/>
      </w:pPr>
      <w:r>
        <w:rPr>
          <w:rFonts w:ascii="Consolas" w:hAnsi="Consolas"/>
          <w:b/>
          <w:sz w:val="20"/>
        </w:rPr>
        <w:t>v4_best_timeseries.csv</w:t>
      </w:r>
      <w:r>
        <w:rPr>
          <w:sz w:val="20"/>
        </w:rPr>
        <w:t xml:space="preserve">  -  Single-seed monthly trajectory of the winner config.</w:t>
      </w:r>
    </w:p>
    <w:tbl>
      <w:tblPr>
        <w:tblW w:type="auto" w:w="0"/>
        <w:tblLayout w:type="fixed"/>
        <w:tblLook w:firstColumn="1" w:firstRow="1" w:lastColumn="0" w:lastRow="0" w:noHBand="0" w:noVBand="1" w:val="04A0"/>
      </w:tblPr>
      <w:tblGrid>
        <w:gridCol w:w="9518"/>
      </w:tblGrid>
      <w:tr>
        <w:tc>
          <w:tcPr>
            <w:tcW w:type="dxa" w:w="9518"/>
            <w:shd w:val="clear" w:color="auto" w:fill="F8FAFC"/>
            <w:tcMar>
              <w:top w:w="200" w:type="dxa"/>
              <w:left w:w="240" w:type="dxa"/>
              <w:bottom w:w="200" w:type="dxa"/>
              <w:right w:w="240" w:type="dxa"/>
            </w:tcMar>
            <w:tcBorders>
              <w:left w:val="single" w:sz="32" w:color="3B82F6"/>
            </w:tcBorders>
          </w:tcPr>
          <w:p>
            <w:pPr>
              <w:spacing w:before="0" w:after="80" w:line="288" w:lineRule="auto"/>
            </w:pPr>
            <w:r/>
            <w:r>
              <w:rPr>
                <w:b/>
                <w:color w:val="3B82F6"/>
                <w:sz w:val="22"/>
              </w:rPr>
              <w:t>How to ablate a pillar</w:t>
            </w:r>
          </w:p>
          <w:p>
            <w:pPr>
              <w:spacing w:before="0" w:after="0" w:line="324" w:lineRule="auto"/>
            </w:pPr>
            <w:r>
              <w:rPr>
                <w:color w:val="0F172A"/>
                <w:sz w:val="20"/>
              </w:rPr>
              <w:t>Each pillar can be turned off by removing its parameter section (operators / customers / macro) from the PARAMS dict in train_v4.py. The engine falls back to v3 mechanics when a pillar's parameters are absent. This is how all five ablation cells in section 11 were generated.</w:t>
            </w:r>
          </w:p>
        </w:tc>
      </w:tr>
    </w:tbl>
    <w:p/>
    <w:p>
      <w:pPr>
        <w:spacing w:before="360" w:after="120" w:line="264" w:lineRule="auto"/>
        <w:pBdr>
          <w:left w:val="single" w:sz="24" w:space="10" w:color="0F172A"/>
        </w:pBdr>
      </w:pPr>
      <w:r>
        <w:rPr>
          <w:b/>
          <w:color w:val="0F172A"/>
          <w:sz w:val="30"/>
        </w:rPr>
        <w:t xml:space="preserve">  B. Parameter values reference</w:t>
      </w:r>
    </w:p>
    <w:p>
      <w:pPr>
        <w:spacing w:before="0" w:after="200" w:line="348" w:lineRule="auto"/>
      </w:pPr>
      <w:r>
        <w:rPr>
          <w:b w:val="0"/>
          <w:i w:val="0"/>
          <w:sz w:val="22"/>
        </w:rPr>
        <w:t>The most important parameter values used in the v4 winner configuration. Full PARAMS dict is in train_v4.py.</w:t>
      </w:r>
    </w:p>
    <w:tbl>
      <w:tblPr>
        <w:tblW w:type="auto" w:w="0"/>
        <w:tblLayout w:type="fixed"/>
        <w:tblLook w:firstColumn="1" w:firstRow="1" w:lastColumn="0" w:lastRow="0" w:noHBand="0" w:noVBand="1" w:val="04A0"/>
      </w:tblPr>
      <w:tblGrid>
        <w:gridCol w:w="3173"/>
        <w:gridCol w:w="3173"/>
        <w:gridCol w:w="3173"/>
      </w:tblGrid>
      <w:tr>
        <w:tc>
          <w:tcPr>
            <w:tcW w:type="dxa" w:w="3744"/>
            <w:shd w:val="clear" w:color="auto" w:fill="0F172A"/>
            <w:tcMar>
              <w:top w:w="120" w:type="dxa"/>
              <w:left w:w="160" w:type="dxa"/>
              <w:bottom w:w="120" w:type="dxa"/>
              <w:right w:w="160" w:type="dxa"/>
            </w:tcMar>
            <w:vAlign w:val="center"/>
          </w:tcPr>
          <w:p>
            <w:pPr>
              <w:spacing w:before="0" w:after="0" w:line="264" w:lineRule="auto"/>
            </w:pPr>
            <w:r/>
            <w:r>
              <w:rPr>
                <w:b/>
                <w:color w:val="FFFFFF"/>
                <w:sz w:val="20"/>
              </w:rPr>
              <w:t>Parameter</w:t>
            </w:r>
          </w:p>
        </w:tc>
        <w:tc>
          <w:tcPr>
            <w:tcW w:type="dxa" w:w="2304"/>
            <w:shd w:val="clear" w:color="auto" w:fill="0F172A"/>
            <w:tcMar>
              <w:top w:w="120" w:type="dxa"/>
              <w:left w:w="160" w:type="dxa"/>
              <w:bottom w:w="120" w:type="dxa"/>
              <w:right w:w="160" w:type="dxa"/>
            </w:tcMar>
            <w:vAlign w:val="center"/>
          </w:tcPr>
          <w:p>
            <w:pPr>
              <w:spacing w:before="0" w:after="0" w:line="264" w:lineRule="auto"/>
            </w:pPr>
            <w:r/>
            <w:r>
              <w:rPr>
                <w:b/>
                <w:color w:val="FFFFFF"/>
                <w:sz w:val="20"/>
              </w:rPr>
              <w:t>Value</w:t>
            </w:r>
          </w:p>
        </w:tc>
        <w:tc>
          <w:tcPr>
            <w:tcW w:type="dxa" w:w="3456"/>
            <w:shd w:val="clear" w:color="auto" w:fill="0F172A"/>
            <w:tcMar>
              <w:top w:w="120" w:type="dxa"/>
              <w:left w:w="160" w:type="dxa"/>
              <w:bottom w:w="120" w:type="dxa"/>
              <w:right w:w="160" w:type="dxa"/>
            </w:tcMar>
            <w:vAlign w:val="center"/>
          </w:tcPr>
          <w:p>
            <w:pPr>
              <w:spacing w:before="0" w:after="0" w:line="264" w:lineRule="auto"/>
            </w:pPr>
            <w:r/>
            <w:r>
              <w:rPr>
                <w:b/>
                <w:color w:val="FFFFFF"/>
                <w:sz w:val="20"/>
              </w:rPr>
              <w:t>Notes</w:t>
            </w:r>
          </w:p>
        </w:tc>
      </w:tr>
      <w:tr>
        <w:tc>
          <w:tcPr>
            <w:tcW w:type="dxa" w:w="3744"/>
            <w:tcMar>
              <w:top w:w="110" w:type="dxa"/>
              <w:left w:w="160" w:type="dxa"/>
              <w:bottom w:w="110" w:type="dxa"/>
              <w:right w:w="160" w:type="dxa"/>
            </w:tcMar>
            <w:vAlign w:val="center"/>
          </w:tcPr>
          <w:p>
            <w:pPr>
              <w:spacing w:before="0" w:after="0" w:line="288" w:lineRule="auto"/>
            </w:pPr>
            <w:r/>
            <w:r>
              <w:rPr>
                <w:b/>
                <w:sz w:val="20"/>
              </w:rPr>
              <w:t>base_emission_per_active_op_per_month</w:t>
            </w:r>
          </w:p>
        </w:tc>
        <w:tc>
          <w:tcPr>
            <w:tcW w:type="dxa" w:w="2304"/>
            <w:tcMar>
              <w:top w:w="110" w:type="dxa"/>
              <w:left w:w="160" w:type="dxa"/>
              <w:bottom w:w="110" w:type="dxa"/>
              <w:right w:w="160" w:type="dxa"/>
            </w:tcMar>
            <w:vAlign w:val="center"/>
          </w:tcPr>
          <w:p>
            <w:pPr>
              <w:spacing w:before="0" w:after="0" w:line="288" w:lineRule="auto"/>
            </w:pPr>
            <w:r/>
            <w:r>
              <w:rPr>
                <w:sz w:val="20"/>
              </w:rPr>
              <w:t>45 tokens</w:t>
            </w:r>
          </w:p>
        </w:tc>
        <w:tc>
          <w:tcPr>
            <w:tcW w:type="dxa" w:w="3456"/>
            <w:tcMar>
              <w:top w:w="110" w:type="dxa"/>
              <w:left w:w="160" w:type="dxa"/>
              <w:bottom w:w="110" w:type="dxa"/>
              <w:right w:w="160" w:type="dxa"/>
            </w:tcMar>
            <w:vAlign w:val="center"/>
          </w:tcPr>
          <w:p>
            <w:pPr>
              <w:spacing w:before="0" w:after="0" w:line="288" w:lineRule="auto"/>
            </w:pPr>
            <w:r/>
            <w:r>
              <w:rPr>
                <w:sz w:val="20"/>
              </w:rPr>
              <w:t>v3 winner value, retained in v4</w:t>
            </w:r>
          </w:p>
        </w:tc>
      </w:tr>
      <w:tr>
        <w:tc>
          <w:tcPr>
            <w:tcW w:type="dxa" w:w="3744"/>
            <w:tcMar>
              <w:top w:w="110" w:type="dxa"/>
              <w:left w:w="160" w:type="dxa"/>
              <w:bottom w:w="110" w:type="dxa"/>
              <w:right w:w="160" w:type="dxa"/>
            </w:tcMar>
            <w:shd w:val="clear" w:color="auto" w:fill="F1F5F9"/>
            <w:vAlign w:val="center"/>
          </w:tcPr>
          <w:p>
            <w:pPr>
              <w:spacing w:before="0" w:after="0" w:line="288" w:lineRule="auto"/>
            </w:pPr>
            <w:r/>
            <w:r>
              <w:rPr>
                <w:b/>
                <w:sz w:val="20"/>
              </w:rPr>
              <w:t>hardware.stake_required_t4_usd</w:t>
            </w:r>
          </w:p>
        </w:tc>
        <w:tc>
          <w:tcPr>
            <w:tcW w:type="dxa" w:w="2304"/>
            <w:tcMar>
              <w:top w:w="110" w:type="dxa"/>
              <w:left w:w="160" w:type="dxa"/>
              <w:bottom w:w="110" w:type="dxa"/>
              <w:right w:w="160" w:type="dxa"/>
            </w:tcMar>
            <w:shd w:val="clear" w:color="auto" w:fill="F1F5F9"/>
            <w:vAlign w:val="center"/>
          </w:tcPr>
          <w:p>
            <w:pPr>
              <w:spacing w:before="0" w:after="0" w:line="288" w:lineRule="auto"/>
            </w:pPr>
            <w:r/>
            <w:r>
              <w:rPr>
                <w:sz w:val="20"/>
              </w:rPr>
              <w:t>$150</w:t>
            </w:r>
          </w:p>
        </w:tc>
        <w:tc>
          <w:tcPr>
            <w:tcW w:type="dxa" w:w="3456"/>
            <w:tcMar>
              <w:top w:w="110" w:type="dxa"/>
              <w:left w:w="160" w:type="dxa"/>
              <w:bottom w:w="110" w:type="dxa"/>
              <w:right w:w="160" w:type="dxa"/>
            </w:tcMar>
            <w:shd w:val="clear" w:color="auto" w:fill="F1F5F9"/>
            <w:vAlign w:val="center"/>
          </w:tcPr>
          <w:p>
            <w:pPr>
              <w:spacing w:before="0" w:after="0" w:line="288" w:lineRule="auto"/>
            </w:pPr>
            <w:r/>
            <w:r>
              <w:rPr>
                <w:sz w:val="20"/>
              </w:rPr>
              <w:t>USD-denominated</w:t>
            </w:r>
          </w:p>
        </w:tc>
      </w:tr>
      <w:tr>
        <w:tc>
          <w:tcPr>
            <w:tcW w:type="dxa" w:w="3744"/>
            <w:tcMar>
              <w:top w:w="110" w:type="dxa"/>
              <w:left w:w="160" w:type="dxa"/>
              <w:bottom w:w="110" w:type="dxa"/>
              <w:right w:w="160" w:type="dxa"/>
            </w:tcMar>
            <w:vAlign w:val="center"/>
          </w:tcPr>
          <w:p>
            <w:pPr>
              <w:spacing w:before="0" w:after="0" w:line="288" w:lineRule="auto"/>
            </w:pPr>
            <w:r/>
            <w:r>
              <w:rPr>
                <w:b/>
                <w:sz w:val="20"/>
              </w:rPr>
              <w:t>supply.monthly_emission_rate</w:t>
            </w:r>
          </w:p>
        </w:tc>
        <w:tc>
          <w:tcPr>
            <w:tcW w:type="dxa" w:w="2304"/>
            <w:tcMar>
              <w:top w:w="110" w:type="dxa"/>
              <w:left w:w="160" w:type="dxa"/>
              <w:bottom w:w="110" w:type="dxa"/>
              <w:right w:w="160" w:type="dxa"/>
            </w:tcMar>
            <w:vAlign w:val="center"/>
          </w:tcPr>
          <w:p>
            <w:pPr>
              <w:spacing w:before="0" w:after="0" w:line="288" w:lineRule="auto"/>
            </w:pPr>
            <w:r/>
            <w:r>
              <w:rPr>
                <w:sz w:val="20"/>
              </w:rPr>
              <w:t>3,000,000 tokens/mo</w:t>
            </w:r>
          </w:p>
        </w:tc>
        <w:tc>
          <w:tcPr>
            <w:tcW w:type="dxa" w:w="3456"/>
            <w:tcMar>
              <w:top w:w="110" w:type="dxa"/>
              <w:left w:w="160" w:type="dxa"/>
              <w:bottom w:w="110" w:type="dxa"/>
              <w:right w:w="160" w:type="dxa"/>
            </w:tcMar>
            <w:vAlign w:val="center"/>
          </w:tcPr>
          <w:p>
            <w:pPr>
              <w:spacing w:before="0" w:after="0" w:line="288" w:lineRule="auto"/>
            </w:pPr>
            <w:r/>
            <w:r>
              <w:rPr>
                <w:sz w:val="20"/>
              </w:rPr>
              <w:t>Linear vesting</w:t>
            </w:r>
          </w:p>
        </w:tc>
      </w:tr>
      <w:tr>
        <w:tc>
          <w:tcPr>
            <w:tcW w:type="dxa" w:w="3744"/>
            <w:tcMar>
              <w:top w:w="110" w:type="dxa"/>
              <w:left w:w="160" w:type="dxa"/>
              <w:bottom w:w="110" w:type="dxa"/>
              <w:right w:w="160" w:type="dxa"/>
            </w:tcMar>
            <w:shd w:val="clear" w:color="auto" w:fill="F1F5F9"/>
            <w:vAlign w:val="center"/>
          </w:tcPr>
          <w:p>
            <w:pPr>
              <w:spacing w:before="0" w:after="0" w:line="288" w:lineRule="auto"/>
            </w:pPr>
            <w:r/>
            <w:r>
              <w:rPr>
                <w:b/>
                <w:sz w:val="20"/>
              </w:rPr>
              <w:t>nodes.arms_per_node</w:t>
            </w:r>
          </w:p>
        </w:tc>
        <w:tc>
          <w:tcPr>
            <w:tcW w:type="dxa" w:w="2304"/>
            <w:tcMar>
              <w:top w:w="110" w:type="dxa"/>
              <w:left w:w="160" w:type="dxa"/>
              <w:bottom w:w="110" w:type="dxa"/>
              <w:right w:w="160" w:type="dxa"/>
            </w:tcMar>
            <w:shd w:val="clear" w:color="auto" w:fill="F1F5F9"/>
            <w:vAlign w:val="center"/>
          </w:tcPr>
          <w:p>
            <w:pPr>
              <w:spacing w:before="0" w:after="0" w:line="288" w:lineRule="auto"/>
            </w:pPr>
            <w:r/>
            <w:r>
              <w:rPr>
                <w:sz w:val="20"/>
              </w:rPr>
              <w:t>2</w:t>
            </w:r>
          </w:p>
        </w:tc>
        <w:tc>
          <w:tcPr>
            <w:tcW w:type="dxa" w:w="3456"/>
            <w:tcMar>
              <w:top w:w="110" w:type="dxa"/>
              <w:left w:w="160" w:type="dxa"/>
              <w:bottom w:w="110" w:type="dxa"/>
              <w:right w:w="160" w:type="dxa"/>
            </w:tcMar>
            <w:shd w:val="clear" w:color="auto" w:fill="F1F5F9"/>
            <w:vAlign w:val="center"/>
          </w:tcPr>
          <w:p>
            <w:pPr>
              <w:spacing w:before="0" w:after="0" w:line="288" w:lineRule="auto"/>
            </w:pPr>
            <w:r/>
            <w:r>
              <w:rPr>
                <w:sz w:val="20"/>
              </w:rPr>
              <w:t>Stress-test refinement</w:t>
            </w:r>
          </w:p>
        </w:tc>
      </w:tr>
      <w:tr>
        <w:tc>
          <w:tcPr>
            <w:tcW w:type="dxa" w:w="3744"/>
            <w:tcMar>
              <w:top w:w="110" w:type="dxa"/>
              <w:left w:w="160" w:type="dxa"/>
              <w:bottom w:w="110" w:type="dxa"/>
              <w:right w:w="160" w:type="dxa"/>
            </w:tcMar>
            <w:vAlign w:val="center"/>
          </w:tcPr>
          <w:p>
            <w:pPr>
              <w:spacing w:before="0" w:after="0" w:line="288" w:lineRule="auto"/>
            </w:pPr>
            <w:r/>
            <w:r>
              <w:rPr>
                <w:b/>
                <w:sz w:val="20"/>
              </w:rPr>
              <w:t>nodes.ops_per_node_target</w:t>
            </w:r>
          </w:p>
        </w:tc>
        <w:tc>
          <w:tcPr>
            <w:tcW w:type="dxa" w:w="2304"/>
            <w:tcMar>
              <w:top w:w="110" w:type="dxa"/>
              <w:left w:w="160" w:type="dxa"/>
              <w:bottom w:w="110" w:type="dxa"/>
              <w:right w:w="160" w:type="dxa"/>
            </w:tcMar>
            <w:vAlign w:val="center"/>
          </w:tcPr>
          <w:p>
            <w:pPr>
              <w:spacing w:before="0" w:after="0" w:line="288" w:lineRule="auto"/>
            </w:pPr>
            <w:r/>
            <w:r>
              <w:rPr>
                <w:sz w:val="20"/>
              </w:rPr>
              <w:t>2,000</w:t>
            </w:r>
          </w:p>
        </w:tc>
        <w:tc>
          <w:tcPr>
            <w:tcW w:type="dxa" w:w="3456"/>
            <w:tcMar>
              <w:top w:w="110" w:type="dxa"/>
              <w:left w:w="160" w:type="dxa"/>
              <w:bottom w:w="110" w:type="dxa"/>
              <w:right w:w="160" w:type="dxa"/>
            </w:tcMar>
            <w:vAlign w:val="center"/>
          </w:tcPr>
          <w:p>
            <w:pPr>
              <w:spacing w:before="0" w:after="0" w:line="288" w:lineRule="auto"/>
            </w:pPr>
            <w:r/>
            <w:r>
              <w:rPr>
                <w:sz w:val="20"/>
              </w:rPr>
              <w:t>Stress-test refinement</w:t>
            </w:r>
          </w:p>
        </w:tc>
      </w:tr>
      <w:tr>
        <w:tc>
          <w:tcPr>
            <w:tcW w:type="dxa" w:w="3744"/>
            <w:tcMar>
              <w:top w:w="110" w:type="dxa"/>
              <w:left w:w="160" w:type="dxa"/>
              <w:bottom w:w="110" w:type="dxa"/>
              <w:right w:w="160" w:type="dxa"/>
            </w:tcMar>
            <w:shd w:val="clear" w:color="auto" w:fill="F1F5F9"/>
            <w:vAlign w:val="center"/>
          </w:tcPr>
          <w:p>
            <w:pPr>
              <w:spacing w:before="0" w:after="0" w:line="288" w:lineRule="auto"/>
            </w:pPr>
            <w:r/>
            <w:r>
              <w:rPr>
                <w:b/>
                <w:sz w:val="20"/>
              </w:rPr>
              <w:t>personas.share</w:t>
            </w:r>
          </w:p>
        </w:tc>
        <w:tc>
          <w:tcPr>
            <w:tcW w:type="dxa" w:w="2304"/>
            <w:tcMar>
              <w:top w:w="110" w:type="dxa"/>
              <w:left w:w="160" w:type="dxa"/>
              <w:bottom w:w="110" w:type="dxa"/>
              <w:right w:w="160" w:type="dxa"/>
            </w:tcMar>
            <w:shd w:val="clear" w:color="auto" w:fill="F1F5F9"/>
            <w:vAlign w:val="center"/>
          </w:tcPr>
          <w:p>
            <w:pPr>
              <w:spacing w:before="0" w:after="0" w:line="288" w:lineRule="auto"/>
            </w:pPr>
            <w:r/>
            <w:r>
              <w:rPr>
                <w:sz w:val="20"/>
              </w:rPr>
              <w:t>60/25/10/5%</w:t>
            </w:r>
          </w:p>
        </w:tc>
        <w:tc>
          <w:tcPr>
            <w:tcW w:type="dxa" w:w="3456"/>
            <w:tcMar>
              <w:top w:w="110" w:type="dxa"/>
              <w:left w:w="160" w:type="dxa"/>
              <w:bottom w:w="110" w:type="dxa"/>
              <w:right w:w="160" w:type="dxa"/>
            </w:tcMar>
            <w:shd w:val="clear" w:color="auto" w:fill="F1F5F9"/>
            <w:vAlign w:val="center"/>
          </w:tcPr>
          <w:p>
            <w:pPr>
              <w:spacing w:before="0" w:after="0" w:line="288" w:lineRule="auto"/>
            </w:pPr>
            <w:r/>
            <w:r>
              <w:rPr>
                <w:sz w:val="20"/>
              </w:rPr>
              <w:t>Casual / Pro / Validator / HW</w:t>
            </w:r>
          </w:p>
        </w:tc>
      </w:tr>
      <w:tr>
        <w:tc>
          <w:tcPr>
            <w:tcW w:type="dxa" w:w="3744"/>
            <w:tcMar>
              <w:top w:w="110" w:type="dxa"/>
              <w:left w:w="160" w:type="dxa"/>
              <w:bottom w:w="110" w:type="dxa"/>
              <w:right w:w="160" w:type="dxa"/>
            </w:tcMar>
            <w:vAlign w:val="center"/>
          </w:tcPr>
          <w:p>
            <w:pPr>
              <w:spacing w:before="0" w:after="0" w:line="288" w:lineRule="auto"/>
            </w:pPr>
            <w:r/>
            <w:r>
              <w:rPr>
                <w:b/>
                <w:sz w:val="20"/>
              </w:rPr>
              <w:t>customers.bootstrap_grace_months</w:t>
            </w:r>
          </w:p>
        </w:tc>
        <w:tc>
          <w:tcPr>
            <w:tcW w:type="dxa" w:w="2304"/>
            <w:tcMar>
              <w:top w:w="110" w:type="dxa"/>
              <w:left w:w="160" w:type="dxa"/>
              <w:bottom w:w="110" w:type="dxa"/>
              <w:right w:w="160" w:type="dxa"/>
            </w:tcMar>
            <w:vAlign w:val="center"/>
          </w:tcPr>
          <w:p>
            <w:pPr>
              <w:spacing w:before="0" w:after="0" w:line="288" w:lineRule="auto"/>
            </w:pPr>
            <w:r/>
            <w:r>
              <w:rPr>
                <w:sz w:val="20"/>
              </w:rPr>
              <w:t>12</w:t>
            </w:r>
          </w:p>
        </w:tc>
        <w:tc>
          <w:tcPr>
            <w:tcW w:type="dxa" w:w="3456"/>
            <w:tcMar>
              <w:top w:w="110" w:type="dxa"/>
              <w:left w:w="160" w:type="dxa"/>
              <w:bottom w:w="110" w:type="dxa"/>
              <w:right w:w="160" w:type="dxa"/>
            </w:tcMar>
            <w:vAlign w:val="center"/>
          </w:tcPr>
          <w:p>
            <w:pPr>
              <w:spacing w:before="0" w:after="0" w:line="288" w:lineRule="auto"/>
            </w:pPr>
            <w:r/>
            <w:r>
              <w:rPr>
                <w:sz w:val="20"/>
              </w:rPr>
              <w:t>Action item: extend to 24 for design partners</w:t>
            </w:r>
          </w:p>
        </w:tc>
      </w:tr>
      <w:tr>
        <w:tc>
          <w:tcPr>
            <w:tcW w:type="dxa" w:w="3744"/>
            <w:tcMar>
              <w:top w:w="110" w:type="dxa"/>
              <w:left w:w="160" w:type="dxa"/>
              <w:bottom w:w="110" w:type="dxa"/>
              <w:right w:w="160" w:type="dxa"/>
            </w:tcMar>
            <w:shd w:val="clear" w:color="auto" w:fill="F1F5F9"/>
            <w:vAlign w:val="center"/>
          </w:tcPr>
          <w:p>
            <w:pPr>
              <w:spacing w:before="0" w:after="0" w:line="288" w:lineRule="auto"/>
            </w:pPr>
            <w:r/>
            <w:r>
              <w:rPr>
                <w:b/>
                <w:sz w:val="20"/>
              </w:rPr>
              <w:t>customers.churn_threshold_satisfaction</w:t>
            </w:r>
          </w:p>
        </w:tc>
        <w:tc>
          <w:tcPr>
            <w:tcW w:type="dxa" w:w="2304"/>
            <w:tcMar>
              <w:top w:w="110" w:type="dxa"/>
              <w:left w:w="160" w:type="dxa"/>
              <w:bottom w:w="110" w:type="dxa"/>
              <w:right w:w="160" w:type="dxa"/>
            </w:tcMar>
            <w:shd w:val="clear" w:color="auto" w:fill="F1F5F9"/>
            <w:vAlign w:val="center"/>
          </w:tcPr>
          <w:p>
            <w:pPr>
              <w:spacing w:before="0" w:after="0" w:line="288" w:lineRule="auto"/>
            </w:pPr>
            <w:r/>
            <w:r>
              <w:rPr>
                <w:sz w:val="20"/>
              </w:rPr>
              <w:t>0.50 for 3 months</w:t>
            </w:r>
          </w:p>
        </w:tc>
        <w:tc>
          <w:tcPr>
            <w:tcW w:type="dxa" w:w="3456"/>
            <w:tcMar>
              <w:top w:w="110" w:type="dxa"/>
              <w:left w:w="160" w:type="dxa"/>
              <w:bottom w:w="110" w:type="dxa"/>
              <w:right w:w="160" w:type="dxa"/>
            </w:tcMar>
            <w:shd w:val="clear" w:color="auto" w:fill="F1F5F9"/>
            <w:vAlign w:val="center"/>
          </w:tcPr>
          <w:p>
            <w:pPr>
              <w:spacing w:before="0" w:after="0" w:line="288" w:lineRule="auto"/>
            </w:pPr>
            <w:r/>
            <w:r>
              <w:rPr>
                <w:sz w:val="20"/>
              </w:rPr>
              <w:t>Hybrid satisfaction-and-duration logic</w:t>
            </w:r>
          </w:p>
        </w:tc>
      </w:tr>
      <w:tr>
        <w:tc>
          <w:tcPr>
            <w:tcW w:type="dxa" w:w="3744"/>
            <w:tcMar>
              <w:top w:w="110" w:type="dxa"/>
              <w:left w:w="160" w:type="dxa"/>
              <w:bottom w:w="110" w:type="dxa"/>
              <w:right w:w="160" w:type="dxa"/>
            </w:tcMar>
            <w:vAlign w:val="center"/>
          </w:tcPr>
          <w:p>
            <w:pPr>
              <w:spacing w:before="0" w:after="0" w:line="288" w:lineRule="auto"/>
            </w:pPr>
            <w:r/>
            <w:r>
              <w:rPr>
                <w:b/>
                <w:sz w:val="20"/>
              </w:rPr>
              <w:t>customers.expansion_threshold_satisfaction</w:t>
            </w:r>
          </w:p>
        </w:tc>
        <w:tc>
          <w:tcPr>
            <w:tcW w:type="dxa" w:w="2304"/>
            <w:tcMar>
              <w:top w:w="110" w:type="dxa"/>
              <w:left w:w="160" w:type="dxa"/>
              <w:bottom w:w="110" w:type="dxa"/>
              <w:right w:w="160" w:type="dxa"/>
            </w:tcMar>
            <w:vAlign w:val="center"/>
          </w:tcPr>
          <w:p>
            <w:pPr>
              <w:spacing w:before="0" w:after="0" w:line="288" w:lineRule="auto"/>
            </w:pPr>
            <w:r/>
            <w:r>
              <w:rPr>
                <w:sz w:val="20"/>
              </w:rPr>
              <w:t>0.80 for 3 months</w:t>
            </w:r>
          </w:p>
        </w:tc>
        <w:tc>
          <w:tcPr>
            <w:tcW w:type="dxa" w:w="3456"/>
            <w:tcMar>
              <w:top w:w="110" w:type="dxa"/>
              <w:left w:w="160" w:type="dxa"/>
              <w:bottom w:w="110" w:type="dxa"/>
              <w:right w:w="160" w:type="dxa"/>
            </w:tcMar>
            <w:vAlign w:val="center"/>
          </w:tcPr>
          <w:p>
            <w:pPr>
              <w:spacing w:before="0" w:after="0" w:line="288" w:lineRule="auto"/>
            </w:pPr>
            <w:r/>
            <w:r>
              <w:rPr>
                <w:sz w:val="20"/>
              </w:rPr>
              <w:t>1.20x expansion, capped 3.0x</w:t>
            </w:r>
          </w:p>
        </w:tc>
      </w:tr>
      <w:tr>
        <w:tc>
          <w:tcPr>
            <w:tcW w:type="dxa" w:w="3744"/>
            <w:tcMar>
              <w:top w:w="110" w:type="dxa"/>
              <w:left w:w="160" w:type="dxa"/>
              <w:bottom w:w="110" w:type="dxa"/>
              <w:right w:w="160" w:type="dxa"/>
            </w:tcMar>
            <w:shd w:val="clear" w:color="auto" w:fill="F1F5F9"/>
            <w:vAlign w:val="center"/>
          </w:tcPr>
          <w:p>
            <w:pPr>
              <w:spacing w:before="0" w:after="0" w:line="288" w:lineRule="auto"/>
            </w:pPr>
            <w:r/>
            <w:r>
              <w:rPr>
                <w:b/>
                <w:sz w:val="20"/>
              </w:rPr>
              <w:t>macro.sentiment.p_bull_to_bear</w:t>
            </w:r>
          </w:p>
        </w:tc>
        <w:tc>
          <w:tcPr>
            <w:tcW w:type="dxa" w:w="2304"/>
            <w:tcMar>
              <w:top w:w="110" w:type="dxa"/>
              <w:left w:w="160" w:type="dxa"/>
              <w:bottom w:w="110" w:type="dxa"/>
              <w:right w:w="160" w:type="dxa"/>
            </w:tcMar>
            <w:shd w:val="clear" w:color="auto" w:fill="F1F5F9"/>
            <w:vAlign w:val="center"/>
          </w:tcPr>
          <w:p>
            <w:pPr>
              <w:spacing w:before="0" w:after="0" w:line="288" w:lineRule="auto"/>
            </w:pPr>
            <w:r/>
            <w:r>
              <w:rPr>
                <w:sz w:val="20"/>
              </w:rPr>
              <w:t>1/21</w:t>
            </w:r>
          </w:p>
        </w:tc>
        <w:tc>
          <w:tcPr>
            <w:tcW w:type="dxa" w:w="3456"/>
            <w:tcMar>
              <w:top w:w="110" w:type="dxa"/>
              <w:left w:w="160" w:type="dxa"/>
              <w:bottom w:w="110" w:type="dxa"/>
              <w:right w:w="160" w:type="dxa"/>
            </w:tcMar>
            <w:shd w:val="clear" w:color="auto" w:fill="F1F5F9"/>
            <w:vAlign w:val="center"/>
          </w:tcPr>
          <w:p>
            <w:pPr>
              <w:spacing w:before="0" w:after="0" w:line="288" w:lineRule="auto"/>
            </w:pPr>
            <w:r/>
            <w:r>
              <w:rPr>
                <w:sz w:val="20"/>
              </w:rPr>
              <w:t>~70% bull / 30% bear expected mix</w:t>
            </w:r>
          </w:p>
        </w:tc>
      </w:tr>
      <w:tr>
        <w:tc>
          <w:tcPr>
            <w:tcW w:type="dxa" w:w="3744"/>
            <w:tcMar>
              <w:top w:w="110" w:type="dxa"/>
              <w:left w:w="160" w:type="dxa"/>
              <w:bottom w:w="110" w:type="dxa"/>
              <w:right w:w="160" w:type="dxa"/>
            </w:tcMar>
            <w:vAlign w:val="center"/>
          </w:tcPr>
          <w:p>
            <w:pPr>
              <w:spacing w:before="0" w:after="0" w:line="288" w:lineRule="auto"/>
            </w:pPr>
            <w:r/>
            <w:r>
              <w:rPr>
                <w:b/>
                <w:sz w:val="20"/>
              </w:rPr>
              <w:t>macro.sentiment.p_bear_to_bull</w:t>
            </w:r>
          </w:p>
        </w:tc>
        <w:tc>
          <w:tcPr>
            <w:tcW w:type="dxa" w:w="2304"/>
            <w:tcMar>
              <w:top w:w="110" w:type="dxa"/>
              <w:left w:w="160" w:type="dxa"/>
              <w:bottom w:w="110" w:type="dxa"/>
              <w:right w:w="160" w:type="dxa"/>
            </w:tcMar>
            <w:vAlign w:val="center"/>
          </w:tcPr>
          <w:p>
            <w:pPr>
              <w:spacing w:before="0" w:after="0" w:line="288" w:lineRule="auto"/>
            </w:pPr>
            <w:r/>
            <w:r>
              <w:rPr>
                <w:sz w:val="20"/>
              </w:rPr>
              <w:t>1/9</w:t>
            </w:r>
          </w:p>
        </w:tc>
        <w:tc>
          <w:tcPr>
            <w:tcW w:type="dxa" w:w="3456"/>
            <w:tcMar>
              <w:top w:w="110" w:type="dxa"/>
              <w:left w:w="160" w:type="dxa"/>
              <w:bottom w:w="110" w:type="dxa"/>
              <w:right w:w="160" w:type="dxa"/>
            </w:tcMar>
            <w:vAlign w:val="center"/>
          </w:tcPr>
          <w:p>
            <w:pPr>
              <w:spacing w:before="0" w:after="0" w:line="288" w:lineRule="auto"/>
            </w:pPr>
            <w:r/>
            <w:r>
              <w:rPr>
                <w:sz w:val="20"/>
              </w:rPr>
              <w:t>Asymmetric for regime persistence</w:t>
            </w:r>
          </w:p>
        </w:tc>
      </w:tr>
      <w:tr>
        <w:tc>
          <w:tcPr>
            <w:tcW w:type="dxa" w:w="3744"/>
            <w:tcMar>
              <w:top w:w="110" w:type="dxa"/>
              <w:left w:w="160" w:type="dxa"/>
              <w:bottom w:w="110" w:type="dxa"/>
              <w:right w:w="160" w:type="dxa"/>
            </w:tcMar>
            <w:shd w:val="clear" w:color="auto" w:fill="F1F5F9"/>
            <w:vAlign w:val="center"/>
          </w:tcPr>
          <w:p>
            <w:pPr>
              <w:spacing w:before="0" w:after="0" w:line="288" w:lineRule="auto"/>
            </w:pPr>
            <w:r/>
            <w:r>
              <w:rPr>
                <w:b/>
                <w:sz w:val="20"/>
              </w:rPr>
              <w:t>macro.amm.usd_at_tge</w:t>
            </w:r>
          </w:p>
        </w:tc>
        <w:tc>
          <w:tcPr>
            <w:tcW w:type="dxa" w:w="2304"/>
            <w:tcMar>
              <w:top w:w="110" w:type="dxa"/>
              <w:left w:w="160" w:type="dxa"/>
              <w:bottom w:w="110" w:type="dxa"/>
              <w:right w:w="160" w:type="dxa"/>
            </w:tcMar>
            <w:shd w:val="clear" w:color="auto" w:fill="F1F5F9"/>
            <w:vAlign w:val="center"/>
          </w:tcPr>
          <w:p>
            <w:pPr>
              <w:spacing w:before="0" w:after="0" w:line="288" w:lineRule="auto"/>
            </w:pPr>
            <w:r/>
            <w:r>
              <w:rPr>
                <w:sz w:val="20"/>
              </w:rPr>
              <w:t>$1,000,000</w:t>
            </w:r>
          </w:p>
        </w:tc>
        <w:tc>
          <w:tcPr>
            <w:tcW w:type="dxa" w:w="3456"/>
            <w:tcMar>
              <w:top w:w="110" w:type="dxa"/>
              <w:left w:w="160" w:type="dxa"/>
              <w:bottom w:w="110" w:type="dxa"/>
              <w:right w:w="160" w:type="dxa"/>
            </w:tcMar>
            <w:shd w:val="clear" w:color="auto" w:fill="F1F5F9"/>
            <w:vAlign w:val="center"/>
          </w:tcPr>
          <w:p>
            <w:pPr>
              <w:spacing w:before="0" w:after="0" w:line="288" w:lineRule="auto"/>
            </w:pPr>
            <w:r/>
            <w:r>
              <w:rPr>
                <w:sz w:val="20"/>
              </w:rPr>
              <w:t>AMM seed (USD pool)</w:t>
            </w:r>
          </w:p>
        </w:tc>
      </w:tr>
      <w:tr>
        <w:tc>
          <w:tcPr>
            <w:tcW w:type="dxa" w:w="3744"/>
            <w:tcMar>
              <w:top w:w="110" w:type="dxa"/>
              <w:left w:w="160" w:type="dxa"/>
              <w:bottom w:w="110" w:type="dxa"/>
              <w:right w:w="160" w:type="dxa"/>
            </w:tcMar>
            <w:vAlign w:val="center"/>
          </w:tcPr>
          <w:p>
            <w:pPr>
              <w:spacing w:before="0" w:after="0" w:line="288" w:lineRule="auto"/>
            </w:pPr>
            <w:r/>
            <w:r>
              <w:rPr>
                <w:b/>
                <w:sz w:val="20"/>
              </w:rPr>
              <w:t>macro.amm.tokens_at_tge</w:t>
            </w:r>
          </w:p>
        </w:tc>
        <w:tc>
          <w:tcPr>
            <w:tcW w:type="dxa" w:w="2304"/>
            <w:tcMar>
              <w:top w:w="110" w:type="dxa"/>
              <w:left w:w="160" w:type="dxa"/>
              <w:bottom w:w="110" w:type="dxa"/>
              <w:right w:w="160" w:type="dxa"/>
            </w:tcMar>
            <w:vAlign w:val="center"/>
          </w:tcPr>
          <w:p>
            <w:pPr>
              <w:spacing w:before="0" w:after="0" w:line="288" w:lineRule="auto"/>
            </w:pPr>
            <w:r/>
            <w:r>
              <w:rPr>
                <w:sz w:val="20"/>
              </w:rPr>
              <w:t>1,000,000</w:t>
            </w:r>
          </w:p>
        </w:tc>
        <w:tc>
          <w:tcPr>
            <w:tcW w:type="dxa" w:w="3456"/>
            <w:tcMar>
              <w:top w:w="110" w:type="dxa"/>
              <w:left w:w="160" w:type="dxa"/>
              <w:bottom w:w="110" w:type="dxa"/>
              <w:right w:w="160" w:type="dxa"/>
            </w:tcMar>
            <w:vAlign w:val="center"/>
          </w:tcPr>
          <w:p>
            <w:pPr>
              <w:spacing w:before="0" w:after="0" w:line="288" w:lineRule="auto"/>
            </w:pPr>
            <w:r/>
            <w:r>
              <w:rPr>
                <w:sz w:val="20"/>
              </w:rPr>
              <w:t>AMM seed (token pool)</w:t>
            </w:r>
          </w:p>
        </w:tc>
      </w:tr>
      <w:tr>
        <w:tc>
          <w:tcPr>
            <w:tcW w:type="dxa" w:w="3744"/>
            <w:tcMar>
              <w:top w:w="110" w:type="dxa"/>
              <w:left w:w="160" w:type="dxa"/>
              <w:bottom w:w="110" w:type="dxa"/>
              <w:right w:w="160" w:type="dxa"/>
            </w:tcMar>
            <w:shd w:val="clear" w:color="auto" w:fill="F1F5F9"/>
            <w:vAlign w:val="center"/>
          </w:tcPr>
          <w:p>
            <w:pPr>
              <w:spacing w:before="0" w:after="0" w:line="288" w:lineRule="auto"/>
            </w:pPr>
            <w:r/>
            <w:r>
              <w:rPr>
                <w:b/>
                <w:sz w:val="20"/>
              </w:rPr>
              <w:t>macro.events.month_18</w:t>
            </w:r>
          </w:p>
        </w:tc>
        <w:tc>
          <w:tcPr>
            <w:tcW w:type="dxa" w:w="2304"/>
            <w:tcMar>
              <w:top w:w="110" w:type="dxa"/>
              <w:left w:w="160" w:type="dxa"/>
              <w:bottom w:w="110" w:type="dxa"/>
              <w:right w:w="160" w:type="dxa"/>
            </w:tcMar>
            <w:shd w:val="clear" w:color="auto" w:fill="F1F5F9"/>
            <w:vAlign w:val="center"/>
          </w:tcPr>
          <w:p>
            <w:pPr>
              <w:spacing w:before="0" w:after="0" w:line="288" w:lineRule="auto"/>
            </w:pPr>
            <w:r/>
            <w:r>
              <w:rPr>
                <w:sz w:val="20"/>
              </w:rPr>
              <w:t>Competitor launch</w:t>
            </w:r>
          </w:p>
        </w:tc>
        <w:tc>
          <w:tcPr>
            <w:tcW w:type="dxa" w:w="3456"/>
            <w:tcMar>
              <w:top w:w="110" w:type="dxa"/>
              <w:left w:w="160" w:type="dxa"/>
              <w:bottom w:w="110" w:type="dxa"/>
              <w:right w:w="160" w:type="dxa"/>
            </w:tcMar>
            <w:shd w:val="clear" w:color="auto" w:fill="F1F5F9"/>
            <w:vAlign w:val="center"/>
          </w:tcPr>
          <w:p>
            <w:pPr>
              <w:spacing w:before="0" w:after="0" w:line="288" w:lineRule="auto"/>
            </w:pPr>
            <w:r/>
            <w:r>
              <w:rPr>
                <w:sz w:val="20"/>
              </w:rPr>
              <w:t>arrival_rate x 0.7 for 6 months</w:t>
            </w:r>
          </w:p>
        </w:tc>
      </w:tr>
      <w:tr>
        <w:tc>
          <w:tcPr>
            <w:tcW w:type="dxa" w:w="3744"/>
            <w:tcMar>
              <w:top w:w="110" w:type="dxa"/>
              <w:left w:w="160" w:type="dxa"/>
              <w:bottom w:w="110" w:type="dxa"/>
              <w:right w:w="160" w:type="dxa"/>
            </w:tcMar>
            <w:vAlign w:val="center"/>
          </w:tcPr>
          <w:p>
            <w:pPr>
              <w:spacing w:before="0" w:after="0" w:line="288" w:lineRule="auto"/>
            </w:pPr>
            <w:r/>
            <w:r>
              <w:rPr>
                <w:b/>
                <w:sz w:val="20"/>
              </w:rPr>
              <w:t>macro.events.month_24</w:t>
            </w:r>
          </w:p>
        </w:tc>
        <w:tc>
          <w:tcPr>
            <w:tcW w:type="dxa" w:w="2304"/>
            <w:tcMar>
              <w:top w:w="110" w:type="dxa"/>
              <w:left w:w="160" w:type="dxa"/>
              <w:bottom w:w="110" w:type="dxa"/>
              <w:right w:w="160" w:type="dxa"/>
            </w:tcMar>
            <w:vAlign w:val="center"/>
          </w:tcPr>
          <w:p>
            <w:pPr>
              <w:spacing w:before="0" w:after="0" w:line="288" w:lineRule="auto"/>
            </w:pPr>
            <w:r/>
            <w:r>
              <w:rPr>
                <w:sz w:val="20"/>
              </w:rPr>
              <w:t>SEC enforcement</w:t>
            </w:r>
          </w:p>
        </w:tc>
        <w:tc>
          <w:tcPr>
            <w:tcW w:type="dxa" w:w="3456"/>
            <w:tcMar>
              <w:top w:w="110" w:type="dxa"/>
              <w:left w:w="160" w:type="dxa"/>
              <w:bottom w:w="110" w:type="dxa"/>
              <w:right w:w="160" w:type="dxa"/>
            </w:tcMar>
            <w:vAlign w:val="center"/>
          </w:tcPr>
          <w:p>
            <w:pPr>
              <w:spacing w:before="0" w:after="0" w:line="288" w:lineRule="auto"/>
            </w:pPr>
            <w:r/>
            <w:r>
              <w:rPr>
                <w:sz w:val="20"/>
              </w:rPr>
              <w:t>token_price x 0.75 (one-shot)</w:t>
            </w:r>
          </w:p>
        </w:tc>
      </w:tr>
      <w:tr>
        <w:tc>
          <w:tcPr>
            <w:tcW w:type="dxa" w:w="3744"/>
            <w:tcMar>
              <w:top w:w="110" w:type="dxa"/>
              <w:left w:w="160" w:type="dxa"/>
              <w:bottom w:w="110" w:type="dxa"/>
              <w:right w:w="160" w:type="dxa"/>
            </w:tcMar>
            <w:shd w:val="clear" w:color="auto" w:fill="F1F5F9"/>
            <w:vAlign w:val="center"/>
          </w:tcPr>
          <w:p>
            <w:pPr>
              <w:spacing w:before="0" w:after="0" w:line="288" w:lineRule="auto"/>
            </w:pPr>
            <w:r/>
            <w:r>
              <w:rPr>
                <w:b/>
                <w:sz w:val="20"/>
              </w:rPr>
              <w:t>macro.events.month_30</w:t>
            </w:r>
          </w:p>
        </w:tc>
        <w:tc>
          <w:tcPr>
            <w:tcW w:type="dxa" w:w="2304"/>
            <w:tcMar>
              <w:top w:w="110" w:type="dxa"/>
              <w:left w:w="160" w:type="dxa"/>
              <w:bottom w:w="110" w:type="dxa"/>
              <w:right w:w="160" w:type="dxa"/>
            </w:tcMar>
            <w:shd w:val="clear" w:color="auto" w:fill="F1F5F9"/>
            <w:vAlign w:val="center"/>
          </w:tcPr>
          <w:p>
            <w:pPr>
              <w:spacing w:before="0" w:after="0" w:line="288" w:lineRule="auto"/>
            </w:pPr>
            <w:r/>
            <w:r>
              <w:rPr>
                <w:sz w:val="20"/>
              </w:rPr>
              <w:t>Macro recession</w:t>
            </w:r>
          </w:p>
        </w:tc>
        <w:tc>
          <w:tcPr>
            <w:tcW w:type="dxa" w:w="3456"/>
            <w:tcMar>
              <w:top w:w="110" w:type="dxa"/>
              <w:left w:w="160" w:type="dxa"/>
              <w:bottom w:w="110" w:type="dxa"/>
              <w:right w:w="160" w:type="dxa"/>
            </w:tcMar>
            <w:shd w:val="clear" w:color="auto" w:fill="F1F5F9"/>
            <w:vAlign w:val="center"/>
          </w:tcPr>
          <w:p>
            <w:pPr>
              <w:spacing w:before="0" w:after="0" w:line="288" w:lineRule="auto"/>
            </w:pPr>
            <w:r/>
            <w:r>
              <w:rPr>
                <w:sz w:val="20"/>
              </w:rPr>
              <w:t>churn_rate x 1.5 for 4 months</w:t>
            </w:r>
          </w:p>
        </w:tc>
      </w:tr>
    </w:tbl>
    <w:p/>
    <w:sectPr w:rsidR="00FC693F" w:rsidRPr="0006063C" w:rsidSect="00034616">
      <w:pgSz w:w="12240" w:h="15840"/>
      <w:pgMar w:top="1361" w:right="1361" w:bottom="1361"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egoe UI" w:hAnsi="Segoe U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