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Guidelines v3</w:t>
      </w:r>
    </w:p>
    <w:p>
      <w:r>
        <w:t>Owner: Koichi Ikeno · Applies to all external surfaces</w:t>
      </w:r>
    </w:p>
    <w:p>
      <w:pPr>
        <w:pStyle w:val="Heading2"/>
      </w:pPr>
      <w:r>
        <w:t>Logo</w:t>
      </w:r>
    </w:p>
    <w:p>
      <w:pPr>
        <w:pStyle w:val="ListBullet"/>
      </w:pPr>
      <w:r>
        <w:t>Clear space = 1x mark height</w:t>
      </w:r>
    </w:p>
    <w:p>
      <w:pPr>
        <w:pStyle w:val="ListBullet"/>
      </w:pPr>
      <w:r>
        <w:t>Never recolor the mark</w:t>
      </w:r>
    </w:p>
    <w:p>
      <w:pPr>
        <w:pStyle w:val="ListBullet"/>
      </w:pPr>
      <w:r>
        <w:t>Dark backgrounds use the mono variant</w:t>
      </w:r>
    </w:p>
    <w:p>
      <w:pPr>
        <w:pStyle w:val="Heading2"/>
      </w:pPr>
      <w:r>
        <w:t>Type &amp; color</w:t>
      </w:r>
    </w:p>
    <w:p>
      <w:pPr>
        <w:pStyle w:val="ListBullet"/>
      </w:pPr>
      <w:r>
        <w:t>Display: Inter Tight</w:t>
      </w:r>
    </w:p>
    <w:p>
      <w:pPr>
        <w:pStyle w:val="ListBullet"/>
      </w:pPr>
      <w:r>
        <w:t>Body: Inter</w:t>
      </w:r>
    </w:p>
    <w:p>
      <w:pPr>
        <w:pStyle w:val="ListBullet"/>
      </w:pPr>
      <w:r>
        <w:t>Primary #4A154B, success #007A5A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