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5 years of experience architecting high-concurrency systems and real-time platforms serving millions of users. Proven track record in technical leadership and delivering scalable, distributed solutions in Go and Python. Open to relocation with visa sponsorship.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Intelligent Processing of 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Tech-led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a 2-engineer team, covering payment routing to per-account settlement terminals and a reconciliation system of 3 interacting state machines for automated and manual mismatch resolution.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maintain the original production payment layer in </w:t>
      </w:r>
      <w:r>
        <w:rPr>
          <w:b/>
          <w:sz w:val="19"/>
        </w:rPr>
        <w:t>Python/FastAPI</w:t>
      </w:r>
      <w:r>
        <w:rPr>
          <w:sz w:val="19"/>
        </w:rPr>
        <w:t xml:space="preserve"> for the tourism platform (5 integrated gateways).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</w:t>
      </w:r>
      <w:r>
        <w:rPr>
          <w:b/>
          <w:sz w:val="19"/>
        </w:rPr>
        <w:t>Go</w:t>
      </w:r>
      <w:r>
        <w:rPr>
          <w:sz w:val="19"/>
        </w:rPr>
        <w:t xml:space="preserve"> rewrite with a cleaner provider-adapter architecture (Make/Verify/Reverse/Refund per provider), </w:t>
      </w:r>
      <w:r>
        <w:rPr>
          <w:b/>
          <w:sz w:val="19"/>
        </w:rPr>
        <w:t>Redis distributed locking</w:t>
      </w:r>
      <w:r>
        <w:rPr>
          <w:sz w:val="19"/>
        </w:rPr>
        <w:t xml:space="preserve">, and </w:t>
      </w:r>
      <w:r>
        <w:rPr>
          <w:b/>
          <w:sz w:val="19"/>
        </w:rPr>
        <w:t>idempotency</w:t>
      </w:r>
      <w:r>
        <w:rPr>
          <w:sz w:val="19"/>
        </w:rPr>
        <w:t xml:space="preserve"> guarantees; now used by two Shiraz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 Smart City Iranians (Atishahr)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Mehr-e Pars ICT (Mehr Pars)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