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color w:val="008080"/>
          <w:sz w:val="36"/>
        </w:rPr>
        <w:t>Saman Nezafat</w:t>
      </w:r>
    </w:p>
    <w:p>
      <w:pPr>
        <w:spacing w:before="0" w:after="80" w:line="240" w:lineRule="auto"/>
        <w:jc w:val="center"/>
      </w:pPr>
      <w:r>
        <w:rPr>
          <w:color w:val="333333"/>
          <w:sz w:val="18"/>
        </w:rPr>
        <w:t>samannzft@gmail.com | linkedin.com/in/samannzft | github.com/onionj</w:t>
      </w:r>
    </w:p>
    <w:p>
      <w:pPr>
        <w:spacing w:before="160" w:after="40" w:line="240" w:lineRule="auto"/>
        <w:pBdr>
          <w:bottom w:val="single" w:sz="4" w:space="1" w:color="008080"/>
        </w:pBdr>
      </w:pPr>
      <w:r>
        <w:rPr>
          <w:b/>
          <w:color w:val="008080"/>
          <w:sz w:val="22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160" w:after="40" w:line="240" w:lineRule="auto"/>
        <w:pBdr>
          <w:bottom w:val="single" w:sz="4" w:space="1" w:color="008080"/>
        </w:pBdr>
      </w:pPr>
      <w:r>
        <w:rPr>
          <w:b/>
          <w:color w:val="008080"/>
          <w:sz w:val="22"/>
        </w:rPr>
        <w:t>WORK EXPERIENCE</w:t>
      </w:r>
    </w:p>
    <w:p>
      <w:pPr>
        <w:spacing w:before="80" w:after="20" w:line="240" w:lineRule="auto"/>
      </w:pPr>
      <w:r>
        <w:rPr>
          <w:b/>
          <w:sz w:val="21"/>
        </w:rPr>
        <w:t>AryaHamrah</w:t>
      </w:r>
      <w:r>
        <w:t xml:space="preserve">  —  </w:t>
      </w:r>
      <w:r>
        <w:rPr>
          <w:color w:val="555555"/>
          <w:sz w:val="20"/>
        </w:rPr>
        <w:t>2025-Present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Go, Redis, ClickHouse, PostgreSQL, Docker</w:t>
      </w:r>
    </w:p>
    <w:p>
      <w:pPr>
        <w:spacing w:before="40" w:after="20" w:line="240" w:lineRule="auto"/>
      </w:pPr>
      <w:r>
        <w:rPr>
          <w:b/>
          <w:sz w:val="20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Architected a high-concurrency payment gateway in </w:t>
      </w:r>
      <w:r>
        <w:rPr>
          <w:b/>
          <w:sz w:val="19"/>
        </w:rPr>
        <w:t>Go</w:t>
      </w:r>
      <w:r>
        <w:rPr>
          <w:sz w:val="19"/>
        </w:rPr>
        <w:t xml:space="preserve">, ensuring transaction safety via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. Implemented a modular </w:t>
      </w:r>
      <w:r>
        <w:rPr>
          <w:b/>
          <w:sz w:val="19"/>
        </w:rPr>
        <w:t>adapter architecture</w:t>
      </w:r>
      <w:r>
        <w:rPr>
          <w:sz w:val="19"/>
        </w:rPr>
        <w:t xml:space="preserve"> for seamless multi-provider integration.</w:t>
      </w:r>
    </w:p>
    <w:p>
      <w:pPr>
        <w:spacing w:before="40" w:after="20" w:line="240" w:lineRule="auto"/>
      </w:pPr>
      <w:r>
        <w:rPr>
          <w:b/>
          <w:sz w:val="20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HMAC-SHA256 hash chains</w:t>
      </w:r>
      <w:r>
        <w:rPr>
          <w:sz w:val="19"/>
        </w:rPr>
        <w:t xml:space="preserve"> per user,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40" w:after="20" w:line="240" w:lineRule="auto"/>
      </w:pPr>
      <w:r>
        <w:rPr>
          <w:b/>
          <w:sz w:val="20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80" w:after="20" w:line="240" w:lineRule="auto"/>
      </w:pPr>
      <w:r>
        <w:rPr>
          <w:b/>
          <w:sz w:val="21"/>
        </w:rPr>
        <w:t>Top</w:t>
      </w:r>
      <w:r>
        <w:t xml:space="preserve">  —  </w:t>
      </w:r>
      <w:r>
        <w:rPr>
          <w:color w:val="555555"/>
          <w:sz w:val="20"/>
        </w:rPr>
        <w:t>2023-2025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Go, ClickHouse, Redis, RabbitMQ, WebSocket, PostgreSQL</w:t>
      </w:r>
    </w:p>
    <w:p>
      <w:pPr>
        <w:spacing w:before="40" w:after="20" w:line="240" w:lineRule="auto"/>
      </w:pPr>
      <w:r>
        <w:rPr>
          <w:b/>
          <w:sz w:val="20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</w:t>
      </w:r>
      <w:r>
        <w:rPr>
          <w:b/>
          <w:sz w:val="19"/>
        </w:rPr>
        <w:t>multi-gateway payment</w:t>
      </w:r>
      <w:r>
        <w:rPr>
          <w:sz w:val="19"/>
        </w:rPr>
        <w:t xml:space="preserve"> orchestration and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40" w:after="20" w:line="240" w:lineRule="auto"/>
      </w:pPr>
      <w:r>
        <w:rPr>
          <w:b/>
          <w:sz w:val="20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40" w:after="20" w:line="240" w:lineRule="auto"/>
      </w:pPr>
      <w:r>
        <w:rPr>
          <w:b/>
          <w:sz w:val="20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40" w:after="20" w:line="240" w:lineRule="auto"/>
      </w:pPr>
      <w:r>
        <w:rPr>
          <w:b/>
          <w:sz w:val="20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40" w:after="20" w:line="240" w:lineRule="auto"/>
      </w:pPr>
      <w:r>
        <w:rPr>
          <w:b/>
          <w:sz w:val="20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80" w:after="20" w:line="240" w:lineRule="auto"/>
      </w:pPr>
      <w:r>
        <w:rPr>
          <w:b/>
          <w:sz w:val="21"/>
        </w:rPr>
        <w:t>Atishahr</w:t>
      </w:r>
      <w:r>
        <w:t xml:space="preserve">  —  </w:t>
      </w:r>
      <w:r>
        <w:rPr>
          <w:color w:val="55555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PostgreSQL</w:t>
      </w:r>
    </w:p>
    <w:p>
      <w:pPr>
        <w:spacing w:before="40" w:after="20" w:line="240" w:lineRule="auto"/>
      </w:pPr>
      <w:r>
        <w:rPr>
          <w:b/>
          <w:sz w:val="20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80" w:after="20" w:line="240" w:lineRule="auto"/>
      </w:pPr>
      <w:r>
        <w:rPr>
          <w:b/>
          <w:sz w:val="21"/>
        </w:rPr>
        <w:t>Mehr Pars</w:t>
      </w:r>
      <w:r>
        <w:t xml:space="preserve">  —  </w:t>
      </w:r>
      <w:r>
        <w:rPr>
          <w:color w:val="55555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Django, PostgreSQL</w:t>
      </w:r>
    </w:p>
    <w:p>
      <w:pPr>
        <w:spacing w:before="40" w:after="20" w:line="240" w:lineRule="auto"/>
      </w:pPr>
      <w:r>
        <w:rPr>
          <w:b/>
          <w:sz w:val="20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40" w:after="20" w:line="240" w:lineRule="auto"/>
      </w:pPr>
      <w:r>
        <w:rPr>
          <w:b/>
          <w:sz w:val="20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80" w:after="20" w:line="240" w:lineRule="auto"/>
      </w:pPr>
      <w:r>
        <w:rPr>
          <w:b/>
          <w:sz w:val="21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80" w:after="20" w:line="240" w:lineRule="auto"/>
      </w:pPr>
      <w:r>
        <w:rPr>
          <w:b/>
          <w:sz w:val="21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80" w:after="20" w:line="240" w:lineRule="auto"/>
      </w:pPr>
      <w:r>
        <w:rPr>
          <w:b/>
          <w:sz w:val="21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80" w:after="20" w:line="240" w:lineRule="auto"/>
      </w:pPr>
      <w:r>
        <w:rPr>
          <w:b/>
          <w:sz w:val="21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80" w:after="20" w:line="240" w:lineRule="auto"/>
      </w:pPr>
      <w:r>
        <w:rPr>
          <w:b/>
          <w:sz w:val="21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