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4+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AryaHamrah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2025-Present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Redis, ClickHouse, MongoDB,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Architected a high-concurrency payment gateway in </w:t>
      </w:r>
      <w:r>
        <w:rPr>
          <w:b/>
          <w:sz w:val="19"/>
        </w:rPr>
        <w:t>Go</w:t>
      </w:r>
      <w:r>
        <w:rPr>
          <w:sz w:val="19"/>
        </w:rPr>
        <w:t xml:space="preserve">, ensuring transaction safety via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. Implemented a modular </w:t>
      </w:r>
      <w:r>
        <w:rPr>
          <w:b/>
          <w:sz w:val="19"/>
        </w:rPr>
        <w:t>adapter architecture</w:t>
      </w:r>
      <w:r>
        <w:rPr>
          <w:sz w:val="19"/>
        </w:rPr>
        <w:t xml:space="preserve"> for seamless multi-provider integration.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HMAC-SHA256 hash chains</w:t>
      </w:r>
      <w:r>
        <w:rPr>
          <w:sz w:val="19"/>
        </w:rPr>
        <w:t xml:space="preserve"> per user,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Top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2023-2025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Go, ClickHouse, Redis, RabbitMQ, WebSocket,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large-scale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</w:t>
      </w:r>
      <w:r>
        <w:rPr>
          <w:b/>
          <w:sz w:val="19"/>
        </w:rPr>
        <w:t>multi-gateway payment</w:t>
      </w:r>
      <w:r>
        <w:rPr>
          <w:sz w:val="19"/>
        </w:rPr>
        <w:t xml:space="preserve"> orchestration and asynchronous, </w:t>
      </w:r>
      <w:r>
        <w:rPr>
          <w:b/>
          <w:sz w:val="19"/>
        </w:rPr>
        <w:t>cached</w:t>
      </w:r>
      <w:r>
        <w:rPr>
          <w:sz w:val="19"/>
        </w:rPr>
        <w:t xml:space="preserve"> processing to reduce latency and database load.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 Pars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