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0" w:name="Xd925ed0d8cc83ce1367d56191af5a9d39ebaba0"/>
    <w:p>
      <w:pPr>
        <w:pStyle w:val="Heading1"/>
      </w:pPr>
      <w:r>
        <w:t xml:space="preserve">PILLAR Pilot — Container Architecture &amp; LLM Integration</w:t>
      </w:r>
    </w:p>
    <w:bookmarkStart w:id="9" w:name="technical-reference-document"/>
    <w:p>
      <w:pPr>
        <w:pStyle w:val="Heading2"/>
      </w:pPr>
      <w:r>
        <w:t xml:space="preserve">Technical Reference Document</w:t>
      </w:r>
    </w:p>
    <w:p>
      <w:pPr>
        <w:pStyle w:val="FirstParagraph"/>
      </w:pPr>
      <w:r>
        <w:rPr>
          <w:b/>
          <w:bCs/>
        </w:rPr>
        <w:t xml:space="preserve">Platform:</w:t>
      </w:r>
      <w:r>
        <w:t xml:space="preserve"> </w:t>
      </w:r>
      <w:r>
        <w:t xml:space="preserve">PILLAR — Presiding with Integrity and Legislative Leadership Action Reform</w:t>
      </w:r>
      <w:r>
        <w:t xml:space="preserve"> </w:t>
      </w:r>
      <w:r>
        <w:rPr>
          <w:b/>
          <w:bCs/>
        </w:rPr>
        <w:t xml:space="preserve">Deployment:</w:t>
      </w:r>
      <w:r>
        <w:t xml:space="preserve"> </w:t>
      </w:r>
      <w:r>
        <w:t xml:space="preserve">Hostinger VPS (72.60.104.187) — Docker Compose on Ubuntu</w:t>
      </w:r>
      <w:r>
        <w:t xml:space="preserve"> </w:t>
      </w:r>
      <w:r>
        <w:rPr>
          <w:b/>
          <w:bCs/>
        </w:rPr>
        <w:t xml:space="preserve">Domain:</w:t>
      </w:r>
      <w:r>
        <w:t xml:space="preserve"> </w:t>
      </w:r>
      <w:r>
        <w:t xml:space="preserve">pillar.bayanaihan.net (with subdomains: ella, obra, yala)</w:t>
      </w:r>
      <w:r>
        <w:t xml:space="preserve"> </w:t>
      </w:r>
      <w:r>
        <w:rPr>
          <w:b/>
          <w:bCs/>
        </w:rPr>
        <w:t xml:space="preserve">Date:</w:t>
      </w:r>
      <w:r>
        <w:t xml:space="preserve"> </w:t>
      </w:r>
      <w:r>
        <w:t xml:space="preserve">July 10, 2026</w:t>
      </w:r>
      <w:r>
        <w:t xml:space="preserve"> </w:t>
      </w:r>
      <w:r>
        <w:rPr>
          <w:b/>
          <w:bCs/>
        </w:rPr>
        <w:t xml:space="preserve">Author:</w:t>
      </w:r>
      <w:r>
        <w:t xml:space="preserve"> </w:t>
      </w:r>
      <w:r>
        <w:t xml:space="preserve">BayanAIhan Engineering</w:t>
      </w:r>
    </w:p>
    <w:p>
      <w:r>
        <w:pict>
          <v:rect style="width:0;height:1.5pt" o:hralign="center" o:hrstd="t" o:hr="t"/>
        </w:pict>
      </w:r>
    </w:p>
    <w:bookmarkEnd w:id="9"/>
    <w:bookmarkStart w:id="10" w:name="executive-summary"/>
    <w:p>
      <w:pPr>
        <w:pStyle w:val="Heading2"/>
      </w:pPr>
      <w:r>
        <w:t xml:space="preserve">1. Executive Summary</w:t>
      </w:r>
    </w:p>
    <w:p>
      <w:pPr>
        <w:pStyle w:val="FirstParagraph"/>
      </w:pPr>
      <w:r>
        <w:t xml:space="preserve">PILLAR is an AI-powered legislative platform for the Municipality of Pitogo, Quezon. It provides three AI modules: ELLA (Executive &amp; Legislative Legal Assistant), OBRA (Ordinance Builder &amp; Research Assistant), and YALA (Your AI Legislative Assistant for citizens).</w:t>
      </w:r>
    </w:p>
    <w:p>
      <w:pPr>
        <w:pStyle w:val="BodyText"/>
      </w:pPr>
      <w:r>
        <w:t xml:space="preserve">The pilot deployment runs on a Hostinger VPS using Docker Compose. The core application is a</w:t>
      </w:r>
      <w:r>
        <w:t xml:space="preserve"> </w:t>
      </w:r>
      <w:r>
        <w:rPr>
          <w:b/>
          <w:bCs/>
        </w:rPr>
        <w:t xml:space="preserve">single monolithic container</w:t>
      </w:r>
      <w:r>
        <w:t xml:space="preserve"> </w:t>
      </w:r>
      <w:r>
        <w:t xml:space="preserve">(pillar-pilot) built on Next.js 15.3.8 with an embedded SQLite database. It depends on one external service (lightrag-service) for knowledge graph retrieval and makes all LLM calls outbound to OpenRouter over HTTPS.</w:t>
      </w:r>
    </w:p>
    <w:p>
      <w:pPr>
        <w:pStyle w:val="BodyText"/>
      </w:pPr>
      <w:r>
        <w:t xml:space="preserve">This document details every container involved, the internal components of the application, how LLMs are called via OpenRouter, and the retrieval pipeline that combines semantic knowledge graph search with traditional keyword search.</w:t>
      </w:r>
    </w:p>
    <w:p>
      <w:pPr>
        <w:pStyle w:val="BodyText"/>
      </w:pPr>
      <w:r>
        <w:rPr>
          <w:b/>
          <w:color w:val="1F4E79"/>
        </w:rPr>
        <w:t xml:space="preserve">Independence Note (added 2026-08-08).</w:t>
      </w:r>
    </w:p>
    <w:p>
      <w:pPr>
        <w:pStyle w:val="BodyText"/>
      </w:pPr>
      <w:r>
        <w:rPr>
          <w:color w:val="1F4E79"/>
        </w:rPr>
        <w:t xml:space="preserve">PILLAR-pilot is a fully standalone Next.js application. It has zero runtime dependency on the eSANGGUNI codebase. All LLM calls go directly to OpenRouter via src/lib/ai/llm.ts (baseURL=https://openrouter.ai/api/v1). PILLAR-pilot owns its own 12.65 MB BM25 search index (search-index.json, 2,634 documents) bundled into the Docker image at build time. It joins the docker network named esangguni_esangguni-network only as a hostname-resolution bridge to reach the peer container lightrag-service:8020 (soft dependency with automatic BM25 fallback). There are no ESANGGUNI_API_URL, x-internal-key, or port-3081 references anywhere in the pillar-pilot source tree. Any earlier draft of this document that suggested a proxy relationship to eSANGGUNI was based on stale documentation and has been corrected.</w:t>
      </w:r>
    </w:p>
    <w:p>
      <w:r>
        <w:pict>
          <v:rect style="width:0;height:1.5pt" o:hralign="center" o:hrstd="t" o:hr="t"/>
        </w:pict>
      </w:r>
    </w:p>
    <w:bookmarkEnd w:id="10"/>
    <w:bookmarkStart w:id="17" w:name="container-inventory"/>
    <w:p>
      <w:pPr>
        <w:pStyle w:val="Heading2"/>
      </w:pPr>
      <w:r>
        <w:t xml:space="preserve">2. Container Inventory</w:t>
      </w:r>
    </w:p>
    <w:bookmarkStart w:id="11" w:name="pillar-pilot-primary-application"/>
    <w:p>
      <w:pPr>
        <w:pStyle w:val="Heading3"/>
      </w:pPr>
      <w:r>
        <w:t xml:space="preserve">2.1 pillar-pilot (Primary Application)</w:t>
      </w:r>
    </w:p>
    <w:tbl>
      <w:tblPr>
        <w:tblStyle w:val="Table"/>
        <w:tblW w:type="pct" w:w="5000"/>
        <w:tblLayout w:type="fixed"/>
        <w:tblLook w:firstRow="1" w:lastRow="0" w:firstColumn="0" w:lastColumn="0" w:noHBand="0" w:noVBand="0" w:val="0020"/>
      </w:tblPr>
      <w:tblGrid>
        <w:gridCol w:w="4658"/>
        <w:gridCol w:w="3261"/>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Image</w:t>
            </w:r>
          </w:p>
        </w:tc>
        <w:tc>
          <w:tcPr/>
          <w:p>
            <w:pPr>
              <w:pStyle w:val="Compact"/>
            </w:pPr>
            <w:r>
              <w:rPr>
                <w:rStyle w:val="VerbatimChar"/>
              </w:rPr>
              <w:t xml:space="preserve">pillar-pilot:latest</w:t>
            </w:r>
          </w:p>
        </w:tc>
      </w:tr>
      <w:tr>
        <w:tc>
          <w:tcPr/>
          <w:p>
            <w:pPr>
              <w:pStyle w:val="Compact"/>
            </w:pPr>
            <w:r>
              <w:t xml:space="preserve">Port</w:t>
            </w:r>
          </w:p>
        </w:tc>
        <w:tc>
          <w:tcPr/>
          <w:p>
            <w:pPr>
              <w:pStyle w:val="Compact"/>
            </w:pPr>
            <w:r>
              <w:rPr>
                <w:rStyle w:val="VerbatimChar"/>
              </w:rPr>
              <w:t xml:space="preserve">127.0.0.1:3082 → 3000</w:t>
            </w:r>
          </w:p>
        </w:tc>
      </w:tr>
      <w:tr>
        <w:tc>
          <w:tcPr/>
          <w:p>
            <w:pPr>
              <w:pStyle w:val="Compact"/>
            </w:pPr>
            <w:r>
              <w:t xml:space="preserve">Runtime</w:t>
            </w:r>
          </w:p>
        </w:tc>
        <w:tc>
          <w:tcPr/>
          <w:p>
            <w:pPr>
              <w:pStyle w:val="Compact"/>
            </w:pPr>
            <w:r>
              <w:t xml:space="preserve">Node.js 20 on Alpine Linux</w:t>
            </w:r>
          </w:p>
        </w:tc>
      </w:tr>
      <w:tr>
        <w:tc>
          <w:tcPr/>
          <w:p>
            <w:pPr>
              <w:pStyle w:val="Compact"/>
            </w:pPr>
            <w:r>
              <w:t xml:space="preserve">Framework</w:t>
            </w:r>
          </w:p>
        </w:tc>
        <w:tc>
          <w:tcPr/>
          <w:p>
            <w:pPr>
              <w:pStyle w:val="Compact"/>
            </w:pPr>
            <w:r>
              <w:t xml:space="preserve">Next.js 15.3.8 (App Router, standalone output)</w:t>
            </w:r>
          </w:p>
        </w:tc>
      </w:tr>
      <w:tr>
        <w:tc>
          <w:tcPr/>
          <w:p>
            <w:pPr>
              <w:pStyle w:val="Compact"/>
            </w:pPr>
            <w:r>
              <w:t xml:space="preserve">Database</w:t>
            </w:r>
          </w:p>
        </w:tc>
        <w:tc>
          <w:tcPr/>
          <w:p>
            <w:pPr>
              <w:pStyle w:val="Compact"/>
            </w:pPr>
            <w:r>
              <w:t xml:space="preserve">SQLite (better-sqlite3) at</w:t>
            </w:r>
            <w:r>
              <w:t xml:space="preserve"> </w:t>
            </w:r>
            <w:r>
              <w:rPr>
                <w:rStyle w:val="VerbatimChar"/>
              </w:rPr>
              <w:t xml:space="preserve">/data/pillar-pilot.db</w:t>
            </w:r>
          </w:p>
        </w:tc>
      </w:tr>
      <w:tr>
        <w:tc>
          <w:tcPr/>
          <w:p>
            <w:pPr>
              <w:pStyle w:val="Compact"/>
            </w:pPr>
            <w:r>
              <w:t xml:space="preserve">Volume</w:t>
            </w:r>
          </w:p>
        </w:tc>
        <w:tc>
          <w:tcPr/>
          <w:p>
            <w:pPr>
              <w:pStyle w:val="Compact"/>
            </w:pPr>
            <w:r>
              <w:rPr>
                <w:rStyle w:val="VerbatimChar"/>
              </w:rPr>
              <w:t xml:space="preserve">pillar-data:/data</w:t>
            </w:r>
            <w:r>
              <w:t xml:space="preserve"> </w:t>
            </w:r>
            <w:r>
              <w:t xml:space="preserve">(persistent SQLite storage)</w:t>
            </w:r>
          </w:p>
        </w:tc>
      </w:tr>
      <w:tr>
        <w:tc>
          <w:tcPr/>
          <w:p>
            <w:pPr>
              <w:pStyle w:val="Compact"/>
            </w:pPr>
            <w:r>
              <w:t xml:space="preserve">Networks</w:t>
            </w:r>
          </w:p>
        </w:tc>
        <w:tc>
          <w:tcPr/>
          <w:p>
            <w:pPr>
              <w:pStyle w:val="Compact"/>
            </w:pPr>
            <w:r>
              <w:rPr>
                <w:rStyle w:val="VerbatimChar"/>
              </w:rPr>
              <w:t xml:space="preserve">pillar-pilot_pillar-network</w:t>
            </w:r>
            <w:r>
              <w:t xml:space="preserve"> </w:t>
            </w:r>
            <w:r>
              <w:t xml:space="preserve">(isolated),</w:t>
            </w:r>
            <w:r>
              <w:t xml:space="preserve"> </w:t>
            </w:r>
            <w:r>
              <w:rPr>
                <w:rStyle w:val="VerbatimChar"/>
              </w:rPr>
              <w:t xml:space="preserve">esangguni_esangguni-network</w:t>
            </w:r>
            <w:r>
              <w:t xml:space="preserve"> </w:t>
            </w:r>
            <w:r>
              <w:t xml:space="preserve">(shared)</w:t>
            </w:r>
          </w:p>
        </w:tc>
      </w:tr>
      <w:tr>
        <w:tc>
          <w:tcPr/>
          <w:p>
            <w:pPr>
              <w:pStyle w:val="Compact"/>
            </w:pPr>
            <w:r>
              <w:t xml:space="preserve">Resource Limits</w:t>
            </w:r>
          </w:p>
        </w:tc>
        <w:tc>
          <w:tcPr/>
          <w:p>
            <w:pPr>
              <w:pStyle w:val="Compact"/>
            </w:pPr>
            <w:r>
              <w:t xml:space="preserve">1.0 CPU, 2 GB RAM, 100 PIDs</w:t>
            </w:r>
          </w:p>
        </w:tc>
      </w:tr>
      <w:tr>
        <w:tc>
          <w:tcPr/>
          <w:p>
            <w:pPr>
              <w:pStyle w:val="Compact"/>
            </w:pPr>
            <w:r>
              <w:t xml:space="preserve">Health Check</w:t>
            </w:r>
          </w:p>
        </w:tc>
        <w:tc>
          <w:tcPr/>
          <w:p>
            <w:pPr>
              <w:pStyle w:val="Compact"/>
            </w:pPr>
            <w:r>
              <w:rPr>
                <w:rStyle w:val="VerbatimChar"/>
              </w:rPr>
              <w:t xml:space="preserve">curl -f http://localhost:3000/api/health</w:t>
            </w:r>
            <w:r>
              <w:t xml:space="preserve"> </w:t>
            </w:r>
            <w:r>
              <w:t xml:space="preserve">every 30s</w:t>
            </w:r>
          </w:p>
        </w:tc>
      </w:tr>
    </w:tbl>
    <w:p>
      <w:pPr>
        <w:pStyle w:val="BodyText"/>
      </w:pPr>
      <w:r>
        <w:t xml:space="preserve">This is the main application container. It bundles the entire Next.js application — server-side API routes, client-side React components, the SQLite database, the BM25 search index (2,634 documents), and all business logic — into a single Docker image.</w:t>
      </w:r>
    </w:p>
    <w:p>
      <w:pPr>
        <w:pStyle w:val="BodyText"/>
      </w:pPr>
      <w:r>
        <w:t xml:space="preserve">The container serves three subdomains via nginx reverse proxy:</w:t>
      </w:r>
    </w:p>
    <w:p>
      <w:pPr>
        <w:pStyle w:val="Compact"/>
        <w:numPr>
          <w:ilvl w:val="0"/>
          <w:numId w:val="1001"/>
        </w:numPr>
      </w:pPr>
      <w:r>
        <w:rPr>
          <w:b/>
          <w:bCs/>
        </w:rPr>
        <w:t xml:space="preserve">pillar.bayanaihan.net</w:t>
      </w:r>
      <w:r>
        <w:t xml:space="preserve"> </w:t>
      </w:r>
      <w:r>
        <w:t xml:space="preserve">— Login, registration, admin dashboard</w:t>
      </w:r>
    </w:p>
    <w:p>
      <w:pPr>
        <w:pStyle w:val="Compact"/>
        <w:numPr>
          <w:ilvl w:val="0"/>
          <w:numId w:val="1001"/>
        </w:numPr>
      </w:pPr>
      <w:r>
        <w:rPr>
          <w:b/>
          <w:bCs/>
        </w:rPr>
        <w:t xml:space="preserve">ella.pillar.bayanaihan.net</w:t>
      </w:r>
      <w:r>
        <w:t xml:space="preserve"> </w:t>
      </w:r>
      <w:r>
        <w:t xml:space="preserve">— Legal research chat assistant</w:t>
      </w:r>
    </w:p>
    <w:p>
      <w:pPr>
        <w:pStyle w:val="Compact"/>
        <w:numPr>
          <w:ilvl w:val="0"/>
          <w:numId w:val="1001"/>
        </w:numPr>
      </w:pPr>
      <w:r>
        <w:rPr>
          <w:b/>
          <w:bCs/>
        </w:rPr>
        <w:t xml:space="preserve">obra.pillar.bayanaihan.net</w:t>
      </w:r>
      <w:r>
        <w:t xml:space="preserve"> </w:t>
      </w:r>
      <w:r>
        <w:t xml:space="preserve">— Ordinance drafting and compliance review</w:t>
      </w:r>
    </w:p>
    <w:p>
      <w:pPr>
        <w:pStyle w:val="Compact"/>
        <w:numPr>
          <w:ilvl w:val="0"/>
          <w:numId w:val="1001"/>
        </w:numPr>
      </w:pPr>
      <w:r>
        <w:rPr>
          <w:b/>
          <w:bCs/>
        </w:rPr>
        <w:t xml:space="preserve">yala.pillar.bayanaihan.net</w:t>
      </w:r>
      <w:r>
        <w:t xml:space="preserve"> </w:t>
      </w:r>
      <w:r>
        <w:t xml:space="preserve">— Citizen-facing municipal information chatbot</w:t>
      </w:r>
    </w:p>
    <w:p>
      <w:pPr>
        <w:pStyle w:val="FirstParagraph"/>
      </w:pPr>
      <w:r>
        <w:t xml:space="preserve">The Dockerfile uses a two-stage build: Stage 1 (builder) compiles Next.js with native module bindings on Alpine Linux, and Stage 2 (runner) copies only the standalone output for a minimal production image running as a non-root</w:t>
      </w:r>
      <w:r>
        <w:t xml:space="preserve"> </w:t>
      </w:r>
      <w:r>
        <w:rPr>
          <w:rStyle w:val="VerbatimChar"/>
        </w:rPr>
        <w:t xml:space="preserve">nextjs</w:t>
      </w:r>
      <w:r>
        <w:t xml:space="preserve"> </w:t>
      </w:r>
      <w:r>
        <w:t xml:space="preserve">user.</w:t>
      </w:r>
    </w:p>
    <w:bookmarkEnd w:id="11"/>
    <w:bookmarkStart w:id="12" w:name="lightrag-service-knowledge-graph-engine"/>
    <w:p>
      <w:pPr>
        <w:pStyle w:val="Heading3"/>
      </w:pPr>
      <w:r>
        <w:t xml:space="preserve">2.2 lightrag-service (Knowledge Graph Engine)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Image</w:t>
            </w:r>
          </w:p>
        </w:tc>
        <w:tc>
          <w:tcPr/>
          <w:p>
            <w:pPr>
              <w:pStyle w:val="Compact"/>
            </w:pPr>
            <w:r>
              <w:rPr>
                <w:rStyle w:val="VerbatimChar"/>
              </w:rPr>
              <w:t xml:space="preserve">lightrag-lightrag-service</w:t>
            </w:r>
          </w:p>
        </w:tc>
      </w:tr>
      <w:tr>
        <w:tc>
          <w:tcPr/>
          <w:p>
            <w:pPr>
              <w:pStyle w:val="Compact"/>
            </w:pPr>
            <w:r>
              <w:t xml:space="preserve">Port</w:t>
            </w:r>
          </w:p>
        </w:tc>
        <w:tc>
          <w:tcPr/>
          <w:p>
            <w:pPr>
              <w:pStyle w:val="Compact"/>
            </w:pPr>
            <w:r>
              <w:rPr>
                <w:rStyle w:val="VerbatimChar"/>
              </w:rPr>
              <w:t xml:space="preserve">127.0.0.1:8020 → 8020</w:t>
            </w:r>
          </w:p>
        </w:tc>
      </w:tr>
      <w:tr>
        <w:tc>
          <w:tcPr/>
          <w:p>
            <w:pPr>
              <w:pStyle w:val="Compact"/>
            </w:pPr>
            <w:r>
              <w:t xml:space="preserve">Runtime</w:t>
            </w:r>
          </w:p>
        </w:tc>
        <w:tc>
          <w:tcPr/>
          <w:p>
            <w:pPr>
              <w:pStyle w:val="Compact"/>
            </w:pPr>
            <w:r>
              <w:t xml:space="preserve">Python (FastAPI)</w:t>
            </w:r>
          </w:p>
        </w:tc>
      </w:tr>
      <w:tr>
        <w:tc>
          <w:tcPr/>
          <w:p>
            <w:pPr>
              <w:pStyle w:val="Compact"/>
            </w:pPr>
            <w:r>
              <w:t xml:space="preserve">Backend</w:t>
            </w:r>
          </w:p>
        </w:tc>
        <w:tc>
          <w:tcPr/>
          <w:p>
            <w:pPr>
              <w:pStyle w:val="Compact"/>
            </w:pPr>
            <w:r>
              <w:t xml:space="preserve">PostgreSQL 18 with Apache AGE + pgvector</w:t>
            </w:r>
          </w:p>
        </w:tc>
      </w:tr>
      <w:tr>
        <w:tc>
          <w:tcPr/>
          <w:p>
            <w:pPr>
              <w:pStyle w:val="Compact"/>
            </w:pPr>
            <w:r>
              <w:t xml:space="preserve">Network</w:t>
            </w:r>
          </w:p>
        </w:tc>
        <w:tc>
          <w:tcPr/>
          <w:p>
            <w:pPr>
              <w:pStyle w:val="Compact"/>
            </w:pPr>
            <w:r>
              <w:rPr>
                <w:rStyle w:val="VerbatimChar"/>
              </w:rPr>
              <w:t xml:space="preserve">esangguni_esangguni-network</w:t>
            </w:r>
            <w:r>
              <w:t xml:space="preserve"> </w:t>
            </w:r>
            <w:r>
              <w:t xml:space="preserve">(shared with pillar-pilot)</w:t>
            </w:r>
          </w:p>
        </w:tc>
      </w:tr>
    </w:tbl>
    <w:p>
      <w:pPr>
        <w:pStyle w:val="BodyText"/>
      </w:pPr>
      <w:r>
        <w:t xml:space="preserve">LightRAG is a semantic retrieval engine that builds and queries knowledge graphs from ingested documents. Unlike traditional vector search (which finds similar text), LightRAG extracts entities (people, offices, legal concepts) and relationships between them, creating a graph structure that can answer questions like</w:t>
      </w:r>
      <w:r>
        <w:t xml:space="preserve"> </w:t>
      </w:r>
      <w:r>
        <w:t xml:space="preserve">“What powers does the Sangguniang Bayan have?”</w:t>
      </w:r>
      <w:r>
        <w:t xml:space="preserve"> </w:t>
      </w:r>
      <w:r>
        <w:t xml:space="preserve">by traversing entity relationships rather than just matching keywords.</w:t>
      </w:r>
    </w:p>
    <w:p>
      <w:pPr>
        <w:pStyle w:val="BodyText"/>
      </w:pPr>
      <w:r>
        <w:t xml:space="preserve">The service exposes these endpoints used by pillar-pilot:</w:t>
      </w:r>
    </w:p>
    <w:p>
      <w:pPr>
        <w:pStyle w:val="Compact"/>
        <w:numPr>
          <w:ilvl w:val="0"/>
          <w:numId w:val="1002"/>
        </w:numPr>
      </w:pPr>
      <w:r>
        <w:rPr>
          <w:b/>
          <w:bCs/>
        </w:rPr>
        <w:t xml:space="preserve">POST /query</w:t>
      </w:r>
      <w:r>
        <w:t xml:space="preserve"> </w:t>
      </w:r>
      <w:r>
        <w:t xml:space="preserve">— Semantic + graph-based retrieval. Accepts a question, retrieval mode (hybrid, local, global, naive), top_k count, and assistant identifier. Returns contextual text passages, source document IDs, and query timing metrics.</w:t>
      </w:r>
    </w:p>
    <w:p>
      <w:pPr>
        <w:pStyle w:val="Compact"/>
        <w:numPr>
          <w:ilvl w:val="0"/>
          <w:numId w:val="1002"/>
        </w:numPr>
      </w:pPr>
      <w:r>
        <w:rPr>
          <w:b/>
          <w:bCs/>
        </w:rPr>
        <w:t xml:space="preserve">POST /query/hybrid</w:t>
      </w:r>
      <w:r>
        <w:t xml:space="preserve"> </w:t>
      </w:r>
      <w:r>
        <w:t xml:space="preserve">— Combined LightRAG + BM25 query endpoint. Accepts pre-computed BM25 results alongside the question for server-side merging.</w:t>
      </w:r>
    </w:p>
    <w:p>
      <w:pPr>
        <w:pStyle w:val="Compact"/>
        <w:numPr>
          <w:ilvl w:val="0"/>
          <w:numId w:val="1002"/>
        </w:numPr>
      </w:pPr>
      <w:r>
        <w:rPr>
          <w:b/>
          <w:bCs/>
        </w:rPr>
        <w:t xml:space="preserve">GET /health</w:t>
      </w:r>
      <w:r>
        <w:t xml:space="preserve"> </w:t>
      </w:r>
      <w:r>
        <w:t xml:space="preserve">— Service health check. Returns status and whether the RAG index is loaded.</w:t>
      </w:r>
    </w:p>
    <w:p>
      <w:pPr>
        <w:pStyle w:val="Compact"/>
        <w:numPr>
          <w:ilvl w:val="0"/>
          <w:numId w:val="1002"/>
        </w:numPr>
      </w:pPr>
      <w:r>
        <w:rPr>
          <w:b/>
          <w:bCs/>
        </w:rPr>
        <w:t xml:space="preserve">GET /stats</w:t>
      </w:r>
      <w:r>
        <w:t xml:space="preserve"> </w:t>
      </w:r>
      <w:r>
        <w:t xml:space="preserve">— Returns document count, entity count, and relationship count.</w:t>
      </w:r>
    </w:p>
    <w:p>
      <w:pPr>
        <w:pStyle w:val="Compact"/>
        <w:numPr>
          <w:ilvl w:val="0"/>
          <w:numId w:val="1002"/>
        </w:numPr>
      </w:pPr>
      <w:r>
        <w:rPr>
          <w:b/>
          <w:bCs/>
        </w:rPr>
        <w:t xml:space="preserve">POST /documents</w:t>
      </w:r>
      <w:r>
        <w:t xml:space="preserve"> </w:t>
      </w:r>
      <w:r>
        <w:t xml:space="preserve">— Ingests a new document with metadata (doc_type, title, section_number, ordinance_number) for knowledge graph indexing.</w:t>
      </w:r>
    </w:p>
    <w:p>
      <w:pPr>
        <w:pStyle w:val="Compact"/>
        <w:numPr>
          <w:ilvl w:val="0"/>
          <w:numId w:val="1002"/>
        </w:numPr>
      </w:pPr>
      <w:r>
        <w:rPr>
          <w:b/>
          <w:bCs/>
        </w:rPr>
        <w:t xml:space="preserve">DELETE /documents/{id}</w:t>
      </w:r>
      <w:r>
        <w:t xml:space="preserve"> </w:t>
      </w:r>
      <w:r>
        <w:t xml:space="preserve">— Removes a document and all its associated entities and relationships from the graph.</w:t>
      </w:r>
    </w:p>
    <w:p>
      <w:pPr>
        <w:pStyle w:val="FirstParagraph"/>
      </w:pPr>
      <w:r>
        <w:t>pillar-pilot connects to this service at http://lightrag-service:8020 via a shared Docker bridge network (historically named esangguni_esangguni-network because it was first created for LightRAG, which was originally shipped with a sibling eSANGGUNI project). The name is legacy; it is used purely as a docker0 bridge so pillar-pilot can reach the lightrag-service container by hostname. There is no application-level dependency on eSANGGUNI — no shared code, no proxied API calls, no shared authentication. The connection uses a 30-second timeout with graceful fallback: if LightRAG is unavailable, the application falls back to BM25-only retrieval with a degraded mode indicator.</w:t>
      </w:r>
      <w:r/>
      <w:r>
        <w:rPr>
          <w:rStyle w:val="VerbatimChar"/>
        </w:rPr>
      </w:r>
      <w:r/>
      <w:r/>
      <w:r/>
      <w:r>
        <w:rPr>
          <w:rStyle w:val="VerbatimChar"/>
        </w:rPr>
      </w:r>
      <w:r/>
      <w:r/>
    </w:p>
    <w:bookmarkEnd w:id="12"/>
    <w:bookmarkStart w:id="13" w:name="Xc41bd8d463dea45f3ae54a22457f75ff1ca4c8e"/>
    <w:p>
      <w:pPr>
        <w:pStyle w:val="Heading3"/>
      </w:pPr>
      <w:r>
        <w:t xml:space="preserve">2.3 postgres-lightrag (Knowledge Graph Database)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Image</w:t>
            </w:r>
          </w:p>
        </w:tc>
        <w:tc>
          <w:tcPr/>
          <w:p>
            <w:pPr>
              <w:pStyle w:val="Compact"/>
            </w:pPr>
            <w:r>
              <w:rPr>
                <w:rStyle w:val="VerbatimChar"/>
              </w:rPr>
              <w:t xml:space="preserve">lightrag-postgres:pg18-age</w:t>
            </w:r>
          </w:p>
        </w:tc>
      </w:tr>
      <w:tr>
        <w:tc>
          <w:tcPr/>
          <w:p>
            <w:pPr>
              <w:pStyle w:val="Compact"/>
            </w:pPr>
            <w:r>
              <w:t xml:space="preserve">Port</w:t>
            </w:r>
          </w:p>
        </w:tc>
        <w:tc>
          <w:tcPr/>
          <w:p>
            <w:pPr>
              <w:pStyle w:val="Compact"/>
            </w:pPr>
            <w:r>
              <w:rPr>
                <w:rStyle w:val="VerbatimChar"/>
              </w:rPr>
              <w:t xml:space="preserve">127.0.0.1:54323 → 5432</w:t>
            </w:r>
          </w:p>
        </w:tc>
      </w:tr>
      <w:tr>
        <w:tc>
          <w:tcPr/>
          <w:p>
            <w:pPr>
              <w:pStyle w:val="Compact"/>
            </w:pPr>
            <w:r>
              <w:t xml:space="preserve">Engine</w:t>
            </w:r>
          </w:p>
        </w:tc>
        <w:tc>
          <w:tcPr/>
          <w:p>
            <w:pPr>
              <w:pStyle w:val="Compact"/>
            </w:pPr>
            <w:r>
              <w:t xml:space="preserve">PostgreSQL 18 with Apache AGE extension and pgvector</w:t>
            </w:r>
          </w:p>
        </w:tc>
      </w:tr>
    </w:tbl>
    <w:p>
      <w:pPr>
        <w:pStyle w:val="BodyText"/>
      </w:pPr>
      <w:r>
        <w:t xml:space="preserve">This PostgreSQL instance stores the knowledge graph data for lightrag-service. It uses three specialized extensions:</w:t>
      </w:r>
    </w:p>
    <w:p>
      <w:pPr>
        <w:pStyle w:val="Compact"/>
        <w:numPr>
          <w:ilvl w:val="0"/>
          <w:numId w:val="1003"/>
        </w:numPr>
      </w:pPr>
      <w:r>
        <w:rPr>
          <w:b/>
          <w:bCs/>
        </w:rPr>
        <w:t xml:space="preserve">Apache AGE</w:t>
      </w:r>
      <w:r>
        <w:t xml:space="preserve"> </w:t>
      </w:r>
      <w:r>
        <w:t xml:space="preserve">— A graph database extension for PostgreSQL that enables graph-based storage and Cypher query language for traversing entity-relationship networks. This is what makes LightRAG’s graph traversal possible within PostgreSQL rather than requiring a separate graph database like Neo4j.</w:t>
      </w:r>
    </w:p>
    <w:p>
      <w:pPr>
        <w:pStyle w:val="Compact"/>
        <w:numPr>
          <w:ilvl w:val="0"/>
          <w:numId w:val="1003"/>
        </w:numPr>
      </w:pPr>
      <w:r>
        <w:rPr>
          <w:b/>
          <w:bCs/>
        </w:rPr>
        <w:t xml:space="preserve">pgvector</w:t>
      </w:r>
      <w:r>
        <w:t xml:space="preserve"> </w:t>
      </w:r>
      <w:r>
        <w:t xml:space="preserve">— A vector similarity search extension that stores and queries high-dimensional embeddings. Used for semantic similarity matching between user queries and document passages.</w:t>
      </w:r>
    </w:p>
    <w:p>
      <w:pPr>
        <w:pStyle w:val="Compact"/>
        <w:numPr>
          <w:ilvl w:val="0"/>
          <w:numId w:val="1003"/>
        </w:numPr>
      </w:pPr>
      <w:r>
        <w:rPr>
          <w:b/>
          <w:bCs/>
        </w:rPr>
        <w:t xml:space="preserve">PGKVStorage / PGGraphStorage / PGVectorStorage / PGDocStatusStorage</w:t>
      </w:r>
      <w:r>
        <w:t xml:space="preserve"> </w:t>
      </w:r>
      <w:r>
        <w:t xml:space="preserve">— Custom storage classes within LightRAG that map to PostgreSQL tables for key-value pairs, graph edges, vector embeddings, and document indexing status respectively.</w:t>
      </w:r>
    </w:p>
    <w:bookmarkEnd w:id="13"/>
    <w:bookmarkStart w:id="14" w:name="lightrag-admin-management-interface"/>
    <w:p>
      <w:pPr>
        <w:pStyle w:val="Heading3"/>
      </w:pPr>
      <w:r>
        <w:t xml:space="preserve">2.4 lightrag-admin (Management Interface)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Image</w:t>
            </w:r>
          </w:p>
        </w:tc>
        <w:tc>
          <w:tcPr/>
          <w:p>
            <w:pPr>
              <w:pStyle w:val="Compact"/>
            </w:pPr>
            <w:r>
              <w:rPr>
                <w:rStyle w:val="VerbatimChar"/>
              </w:rPr>
              <w:t xml:space="preserve">lightrag-lightrag-admin</w:t>
            </w:r>
          </w:p>
        </w:tc>
      </w:tr>
      <w:tr>
        <w:tc>
          <w:tcPr/>
          <w:p>
            <w:pPr>
              <w:pStyle w:val="Compact"/>
            </w:pPr>
            <w:r>
              <w:t xml:space="preserve">Port</w:t>
            </w:r>
          </w:p>
        </w:tc>
        <w:tc>
          <w:tcPr/>
          <w:p>
            <w:pPr>
              <w:pStyle w:val="Compact"/>
            </w:pPr>
            <w:r>
              <w:rPr>
                <w:rStyle w:val="VerbatimChar"/>
              </w:rPr>
              <w:t xml:space="preserve">127.0.0.1:3005 → 3001</w:t>
            </w:r>
          </w:p>
        </w:tc>
      </w:tr>
      <w:tr>
        <w:tc>
          <w:tcPr/>
          <w:p>
            <w:pPr>
              <w:pStyle w:val="Compact"/>
            </w:pPr>
            <w:r>
              <w:t xml:space="preserve">Runtime</w:t>
            </w:r>
          </w:p>
        </w:tc>
        <w:tc>
          <w:tcPr/>
          <w:p>
            <w:pPr>
              <w:pStyle w:val="Compact"/>
            </w:pPr>
            <w:r>
              <w:t xml:space="preserve">Web application (internal)</w:t>
            </w:r>
          </w:p>
        </w:tc>
      </w:tr>
    </w:tbl>
    <w:p>
      <w:pPr>
        <w:pStyle w:val="BodyText"/>
      </w:pPr>
      <w:r>
        <w:t xml:space="preserve">A web-based admin interface for managing LightRAG instances. Provides document ingestion controls, knowledge graph visualization, entity and relationship browsing, and indexing status monitoring. Accessed internally by administrators.</w:t>
      </w:r>
    </w:p>
    <w:bookmarkEnd w:id="14"/>
    <w:bookmarkStart w:id="15" w:name="Xcdb8598f1edcadda4ae46bb159bfe53c2819074"/>
    <w:p>
      <w:pPr>
        <w:pStyle w:val="Heading3"/>
      </w:pPr>
      <w:r>
        <w:t xml:space="preserve">2.5 postgres-pillar-pitogo (Provisioned but Unused)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Image</w:t>
            </w:r>
          </w:p>
        </w:tc>
        <w:tc>
          <w:tcPr/>
          <w:p>
            <w:pPr>
              <w:pStyle w:val="Compact"/>
            </w:pPr>
            <w:r>
              <w:rPr>
                <w:rStyle w:val="VerbatimChar"/>
              </w:rPr>
              <w:t xml:space="preserve">postgres:16-alpine</w:t>
            </w:r>
          </w:p>
        </w:tc>
      </w:tr>
      <w:tr>
        <w:tc>
          <w:tcPr/>
          <w:p>
            <w:pPr>
              <w:pStyle w:val="Compact"/>
            </w:pPr>
            <w:r>
              <w:t xml:space="preserve">Port</w:t>
            </w:r>
          </w:p>
        </w:tc>
        <w:tc>
          <w:tcPr/>
          <w:p>
            <w:pPr>
              <w:pStyle w:val="Compact"/>
            </w:pPr>
            <w:r>
              <w:rPr>
                <w:rStyle w:val="VerbatimChar"/>
              </w:rPr>
              <w:t xml:space="preserve">127.0.0.1:54324 → 5432</w:t>
            </w:r>
          </w:p>
        </w:tc>
      </w:tr>
      <w:tr>
        <w:tc>
          <w:tcPr/>
          <w:p>
            <w:pPr>
              <w:pStyle w:val="Compact"/>
            </w:pPr>
            <w:r>
              <w:t xml:space="preserve">Status</w:t>
            </w:r>
          </w:p>
        </w:tc>
        <w:tc>
          <w:tcPr/>
          <w:p>
            <w:pPr>
              <w:pStyle w:val="Compact"/>
            </w:pPr>
            <w:r>
              <w:t xml:space="preserve">Running but not connected to pillar-pilot</w:t>
            </w:r>
          </w:p>
        </w:tc>
      </w:tr>
    </w:tbl>
    <w:p>
      <w:pPr>
        <w:pStyle w:val="BodyText"/>
      </w:pPr>
      <w:r>
        <w:t xml:space="preserve">This PostgreSQL instance was provisioned during initial infrastructure setup but is currently unused. pillar-pilot uses SQLite on a mounted Docker volume instead. This container remains available for a potential future database migration from SQLite to PostgreSQL if the platform scales to handle concurrent users or requires features like full-text search with tsvector.</w:t>
      </w:r>
    </w:p>
    <w:bookmarkEnd w:id="15"/>
    <w:bookmarkStart w:id="16" w:name="Xf1d24f6999ac44c111755a8912807bc20d85616"/>
    <w:p>
      <w:pPr>
        <w:pStyle w:val="Heading3"/>
      </w:pPr>
      <w:r>
        <w:t xml:space="preserve">2.6 Additional Containers (Pitogo-specific instances)</w:t>
      </w:r>
    </w:p>
    <w:p>
      <w:pPr>
        <w:pStyle w:val="FirstParagraph"/>
      </w:pPr>
      <w:r>
        <w:t xml:space="preserve">The VPS also runs these containers for other PILLAR/LightRAG deployments that share the same infrastructure:</w:t>
      </w:r>
    </w:p>
    <w:p>
      <w:pPr>
        <w:pStyle w:val="Compact"/>
        <w:numPr>
          <w:ilvl w:val="0"/>
          <w:numId w:val="1004"/>
        </w:numPr>
      </w:pPr>
      <w:r>
        <w:rPr>
          <w:b/>
          <w:bCs/>
        </w:rPr>
        <w:t xml:space="preserve">lightrag-pitogo</w:t>
      </w:r>
      <w:r>
        <w:t xml:space="preserve"> </w:t>
      </w:r>
      <w:r>
        <w:t xml:space="preserve">(:8022) — A separate LightRAG instance for the Pitogo municipality-specific knowledge graph</w:t>
      </w:r>
    </w:p>
    <w:p>
      <w:pPr>
        <w:pStyle w:val="Compact"/>
        <w:numPr>
          <w:ilvl w:val="0"/>
          <w:numId w:val="1004"/>
        </w:numPr>
      </w:pPr>
      <w:r>
        <w:rPr>
          <w:b/>
          <w:bCs/>
        </w:rPr>
        <w:t xml:space="preserve">postgres-lightrag-pitogo</w:t>
      </w:r>
      <w:r>
        <w:t xml:space="preserve"> </w:t>
      </w:r>
      <w:r>
        <w:t xml:space="preserve">(internal :5432) — PostgreSQL backing the Pitogo LightRAG instance</w:t>
      </w:r>
    </w:p>
    <w:p>
      <w:pPr>
        <w:pStyle w:val="Compact"/>
        <w:numPr>
          <w:ilvl w:val="0"/>
          <w:numId w:val="1004"/>
        </w:numPr>
      </w:pPr>
      <w:r>
        <w:rPr>
          <w:b/>
          <w:bCs/>
        </w:rPr>
        <w:t xml:space="preserve">pillar-hub</w:t>
      </w:r>
      <w:r>
        <w:t xml:space="preserve"> </w:t>
      </w:r>
      <w:r>
        <w:t xml:space="preserve">(:3083) — Hub application for multi-LGU coordination</w:t>
      </w:r>
    </w:p>
    <w:p>
      <w:pPr>
        <w:pStyle w:val="Compact"/>
        <w:numPr>
          <w:ilvl w:val="0"/>
          <w:numId w:val="1004"/>
        </w:numPr>
      </w:pPr>
      <w:r>
        <w:rPr>
          <w:b/>
          <w:bCs/>
        </w:rPr>
        <w:t xml:space="preserve">pillar-hub-postgres</w:t>
      </w:r>
      <w:r>
        <w:t xml:space="preserve"> </w:t>
      </w:r>
      <w:r>
        <w:t xml:space="preserve">(internal :5432) — PostgreSQL for the hub application</w:t>
      </w:r>
    </w:p>
    <w:p>
      <w:pPr>
        <w:pStyle w:val="Compact"/>
        <w:numPr>
          <w:ilvl w:val="0"/>
          <w:numId w:val="1004"/>
        </w:numPr>
      </w:pPr>
      <w:r>
        <w:rPr>
          <w:b/>
          <w:bCs/>
        </w:rPr>
        <w:t xml:space="preserve">pillar-spoke-pitogo</w:t>
      </w:r>
      <w:r>
        <w:t xml:space="preserve"> </w:t>
      </w:r>
      <w:r>
        <w:t xml:space="preserve">(:3034) — Spoke instance for Pitogo-specific deployment</w:t>
      </w:r>
    </w:p>
    <w:p>
      <w:pPr>
        <w:pStyle w:val="FirstParagraph"/>
      </w:pPr>
      <w:r>
        <w:t xml:space="preserve">These are separate deployments that share the same VPS but are architecturally independent from pillar-pilot.</w:t>
      </w:r>
    </w:p>
    <w:p>
      <w:r>
        <w:pict>
          <v:rect style="width:0;height:1.5pt" o:hralign="center" o:hrstd="t" o:hr="t"/>
        </w:pict>
      </w:r>
    </w:p>
    <w:bookmarkEnd w:id="16"/>
    <w:bookmarkEnd w:id="17"/>
    <w:bookmarkStart w:id="22" w:name="Xf836a6abf034eb90936c15ff018d00f8ff0272b"/>
    <w:p>
      <w:pPr>
        <w:pStyle w:val="Heading2"/>
      </w:pPr>
      <w:r>
        <w:t xml:space="preserve">3. Application Architecture (pillar-pilot Internals)</w:t>
      </w:r>
    </w:p>
    <w:bookmarkStart w:id="18" w:name="module-structure"/>
    <w:p>
      <w:pPr>
        <w:pStyle w:val="Heading3"/>
      </w:pPr>
      <w:r>
        <w:t xml:space="preserve">3.1 Module Structure</w:t>
      </w:r>
    </w:p>
    <w:p>
      <w:pPr>
        <w:pStyle w:val="FirstParagraph"/>
      </w:pPr>
      <w:r>
        <w:t xml:space="preserve">pillar-pilot is a Next.js 15.3.8 application using the App Router with three user-facing modules and one admin module:</w:t>
      </w:r>
    </w:p>
    <w:p>
      <w:pPr>
        <w:pStyle w:val="BodyText"/>
      </w:pPr>
      <w:r>
        <w:rPr>
          <w:b/>
          <w:bCs/>
        </w:rPr>
        <w:t xml:space="preserve">ELLA (Executive &amp; Legislative Legal Assistant)</w:t>
      </w:r>
      <w:r>
        <w:t xml:space="preserve"> </w:t>
      </w:r>
      <w:r>
        <w:t xml:space="preserve">— A streaming chat interface for legal research. Users ask questions about Philippine local government law, and ELLA responds with cited references to R.A. 7160 sections, municipal ordinances, DILG opinions, and jurisprudence. Responses stream in real-time using Server-Sent Events.</w:t>
      </w:r>
    </w:p>
    <w:p>
      <w:pPr>
        <w:pStyle w:val="BodyText"/>
      </w:pPr>
      <w:r>
        <w:rPr>
          <w:b/>
          <w:bCs/>
        </w:rPr>
        <w:t xml:space="preserve">OBRA (Ordinance Builder &amp; Research Assistant)</w:t>
      </w:r>
      <w:r>
        <w:t xml:space="preserve"> </w:t>
      </w:r>
      <w:r>
        <w:t xml:space="preserve">— A comprehensive ordinance drafting toolkit with four capabilities: (1) Draft generation from templates (tax, regulatory, appropriation, general), (2) Compliance review against R.A. 7160, (3) AI-powered fix application for identified issues, and (4) Document export to DOCX/PDF. Also includes a Review tab for analyzing existing drafts uploaded by the user.</w:t>
      </w:r>
    </w:p>
    <w:p>
      <w:pPr>
        <w:pStyle w:val="BodyText"/>
      </w:pPr>
      <w:r>
        <w:rPr>
          <w:b/>
          <w:bCs/>
        </w:rPr>
        <w:t>YALA (Your AI Legislative Assistant) — A citizen-facing chatbot served from yala.pillar.bayanaihan.net (a subdomain of the pillar-pilot container). Answers questions about Pitogo municipal services, office hours, barangay information, business permits, and other local government services. Strictly scoped to Pitogo-related topics.</w:t>
      </w:r>
      <w:r/>
      <w:r/>
    </w:p>
    <w:p>
      <w:pPr>
        <w:pStyle w:val="BodyText"/>
      </w:pPr>
      <w:r>
        <w:rPr>
          <w:b/>
          <w:bCs/>
        </w:rPr>
        <w:t xml:space="preserve">Admin Dashboard</w:t>
      </w:r>
      <w:r>
        <w:t xml:space="preserve"> </w:t>
      </w:r>
      <w:r>
        <w:t xml:space="preserve">— Accessible at /admin. Manages user registrations (approve/reject pending accounts), monitors interaction logs, exports workshop data, and manages the knowledge base.</w:t>
      </w:r>
    </w:p>
    <w:bookmarkEnd w:id="18"/>
    <w:bookmarkStart w:id="19" w:name="sqlite-database-schema"/>
    <w:p>
      <w:pPr>
        <w:pStyle w:val="Heading3"/>
      </w:pPr>
      <w:r>
        <w:t xml:space="preserve">3.2 SQLite Database Schema</w:t>
      </w:r>
    </w:p>
    <w:p>
      <w:pPr>
        <w:pStyle w:val="FirstParagraph"/>
      </w:pPr>
      <w:r>
        <w:t xml:space="preserve">The SQLite database at</w:t>
      </w:r>
      <w:r>
        <w:t xml:space="preserve"> </w:t>
      </w:r>
      <w:r>
        <w:rPr>
          <w:rStyle w:val="VerbatimChar"/>
        </w:rPr>
        <w:t xml:space="preserve">/data/pillar-pilot.db</w:t>
      </w:r>
      <w:r>
        <w:t xml:space="preserve"> </w:t>
      </w:r>
      <w:r>
        <w:t xml:space="preserve">uses WAL journal mode with foreign keys enabled. It contains 10 tables organized into four domains:</w:t>
      </w:r>
    </w:p>
    <w:p>
      <w:pPr>
        <w:pStyle w:val="BodyText"/>
      </w:pPr>
      <w:r>
        <w:rPr>
          <w:b/>
          <w:bCs/>
        </w:rPr>
        <w:t xml:space="preserve">Authentication Tables:</w:t>
      </w:r>
    </w:p>
    <w:p>
      <w:pPr>
        <w:pStyle w:val="Compact"/>
        <w:numPr>
          <w:ilvl w:val="0"/>
          <w:numId w:val="1005"/>
        </w:numPr>
      </w:pPr>
      <w:r>
        <w:rPr>
          <w:b/>
          <w:bCs/>
        </w:rPr>
        <w:t xml:space="preserve">users</w:t>
      </w:r>
      <w:r>
        <w:t xml:space="preserve"> </w:t>
      </w:r>
      <w:r>
        <w:t xml:space="preserve">— Registered platform users with email/password (scrypt-hashed), full name, LGU affiliation, province, and approval status (pending/approved/rejected). Users must be approved by an admin before they can log in.</w:t>
      </w:r>
    </w:p>
    <w:p>
      <w:pPr>
        <w:pStyle w:val="Compact"/>
        <w:numPr>
          <w:ilvl w:val="0"/>
          <w:numId w:val="1005"/>
        </w:numPr>
      </w:pPr>
      <w:r>
        <w:rPr>
          <w:b/>
          <w:bCs/>
        </w:rPr>
        <w:t xml:space="preserve">user_sessions</w:t>
      </w:r>
      <w:r>
        <w:t xml:space="preserve"> </w:t>
      </w:r>
      <w:r>
        <w:t xml:space="preserve">— Session tokens (64-character hex strings) with 1-hour sliding window expiry. Sessions are stored in cookies (</w:t>
      </w:r>
      <w:r>
        <w:rPr>
          <w:rStyle w:val="VerbatimChar"/>
        </w:rPr>
        <w:t xml:space="preserve">pillar_user_session</w:t>
      </w:r>
      <w:r>
        <w:t xml:space="preserve">) with the</w:t>
      </w:r>
      <w:r>
        <w:t xml:space="preserve"> </w:t>
      </w:r>
      <w:r>
        <w:rPr>
          <w:rStyle w:val="VerbatimChar"/>
        </w:rPr>
        <w:t xml:space="preserve">COOKIE_DOMAIN</w:t>
      </w:r>
      <w:r>
        <w:t xml:space="preserve"> </w:t>
      </w:r>
      <w:r>
        <w:t xml:space="preserve">set to</w:t>
      </w:r>
      <w:r>
        <w:t xml:space="preserve"> </w:t>
      </w:r>
      <w:r>
        <w:rPr>
          <w:rStyle w:val="VerbatimChar"/>
        </w:rPr>
        <w:t xml:space="preserve">.pillar.bayanaihan.net</w:t>
      </w:r>
      <w:r>
        <w:t xml:space="preserve"> </w:t>
      </w:r>
      <w:r>
        <w:t xml:space="preserve">for cross-subdomain authentication.</w:t>
      </w:r>
    </w:p>
    <w:p>
      <w:pPr>
        <w:pStyle w:val="Compact"/>
        <w:numPr>
          <w:ilvl w:val="0"/>
          <w:numId w:val="1005"/>
        </w:numPr>
      </w:pPr>
      <w:r>
        <w:rPr>
          <w:b/>
          <w:bCs/>
        </w:rPr>
        <w:t xml:space="preserve">admin_users</w:t>
      </w:r>
      <w:r>
        <w:t xml:space="preserve"> </w:t>
      </w:r>
      <w:r>
        <w:t xml:space="preserve">— Administrative accounts with role-based access (super_admin or lgu_admin).</w:t>
      </w:r>
    </w:p>
    <w:p>
      <w:pPr>
        <w:pStyle w:val="Compact"/>
        <w:numPr>
          <w:ilvl w:val="0"/>
          <w:numId w:val="1005"/>
        </w:numPr>
      </w:pPr>
      <w:r>
        <w:rPr>
          <w:b/>
          <w:bCs/>
        </w:rPr>
        <w:t xml:space="preserve">admin_sessions</w:t>
      </w:r>
      <w:r>
        <w:t xml:space="preserve"> </w:t>
      </w:r>
      <w:r>
        <w:t xml:space="preserve">— Admin session tokens with the same sliding window mechanism.</w:t>
      </w:r>
    </w:p>
    <w:p>
      <w:pPr>
        <w:pStyle w:val="FirstParagraph"/>
      </w:pPr>
      <w:r>
        <w:rPr>
          <w:b/>
          <w:bCs/>
        </w:rPr>
        <w:t xml:space="preserve">Interaction Logging Tables:</w:t>
      </w:r>
    </w:p>
    <w:p>
      <w:pPr>
        <w:pStyle w:val="Compact"/>
        <w:numPr>
          <w:ilvl w:val="0"/>
          <w:numId w:val="1006"/>
        </w:numPr>
      </w:pPr>
      <w:r>
        <w:rPr>
          <w:b/>
          <w:bCs/>
        </w:rPr>
        <w:t xml:space="preserve">workshop_sessions</w:t>
      </w:r>
      <w:r>
        <w:t xml:space="preserve"> </w:t>
      </w:r>
      <w:r>
        <w:t xml:space="preserve">— Groups interactions into workshop sessions with title and timestamps.</w:t>
      </w:r>
    </w:p>
    <w:p>
      <w:pPr>
        <w:pStyle w:val="Compact"/>
        <w:numPr>
          <w:ilvl w:val="0"/>
          <w:numId w:val="1006"/>
        </w:numPr>
      </w:pPr>
      <w:r>
        <w:rPr>
          <w:b/>
          <w:bCs/>
        </w:rPr>
        <w:t xml:space="preserve">participant_sessions</w:t>
      </w:r>
      <w:r>
        <w:t xml:space="preserve"> </w:t>
      </w:r>
      <w:r>
        <w:t xml:space="preserve">— Tracks individual participants per workshop with name, IP address, module, and activity timestamps.</w:t>
      </w:r>
    </w:p>
    <w:p>
      <w:pPr>
        <w:pStyle w:val="Compact"/>
        <w:numPr>
          <w:ilvl w:val="0"/>
          <w:numId w:val="1006"/>
        </w:numPr>
      </w:pPr>
      <w:r>
        <w:rPr>
          <w:b/>
          <w:bCs/>
        </w:rPr>
        <w:t xml:space="preserve">interaction_logs</w:t>
      </w:r>
      <w:r>
        <w:t xml:space="preserve"> </w:t>
      </w:r>
      <w:r>
        <w:t xml:space="preserve">— The main audit trail. Records every user message and AI response with module, role, content, and optional</w:t>
      </w:r>
      <w:r>
        <w:t xml:space="preserve"> </w:t>
      </w:r>
      <w:r>
        <w:rPr>
          <w:rStyle w:val="VerbatimChar"/>
        </w:rPr>
        <w:t xml:space="preserve">rag_context</w:t>
      </w:r>
      <w:r>
        <w:t xml:space="preserve"> </w:t>
      </w:r>
      <w:r>
        <w:t xml:space="preserve">(the retrieval context passed to the LLM) and</w:t>
      </w:r>
      <w:r>
        <w:t xml:space="preserve"> </w:t>
      </w:r>
      <w:r>
        <w:rPr>
          <w:rStyle w:val="VerbatimChar"/>
        </w:rPr>
        <w:t xml:space="preserve">citations_json</w:t>
      </w:r>
      <w:r>
        <w:t xml:space="preserve"> </w:t>
      </w:r>
      <w:r>
        <w:t xml:space="preserve">(validated citations from the response). Also stores OBRA-specific fields like template type, compliance score, and draft length.</w:t>
      </w:r>
    </w:p>
    <w:p>
      <w:pPr>
        <w:pStyle w:val="FirstParagraph"/>
      </w:pPr>
      <w:r>
        <w:rPr>
          <w:b/>
          <w:bCs/>
        </w:rPr>
        <w:t xml:space="preserve">Knowledge Base Tables:</w:t>
      </w:r>
    </w:p>
    <w:p>
      <w:pPr>
        <w:pStyle w:val="Compact"/>
        <w:numPr>
          <w:ilvl w:val="0"/>
          <w:numId w:val="1007"/>
        </w:numPr>
      </w:pPr>
      <w:r>
        <w:rPr>
          <w:b/>
          <w:bCs/>
        </w:rPr>
        <w:t xml:space="preserve">kb_documents</w:t>
      </w:r>
      <w:r>
        <w:t xml:space="preserve"> </w:t>
      </w:r>
      <w:r>
        <w:t xml:space="preserve">— Legal documents with metadata: doc_type (ordinance, ra7160, irr, dilg_opinion, jurisprudence), section/ordinance numbers, series year, topics, and indexing status (pending/indexed/error). Content is stored as full text with file metadata.</w:t>
      </w:r>
    </w:p>
    <w:p>
      <w:pPr>
        <w:pStyle w:val="Compact"/>
        <w:numPr>
          <w:ilvl w:val="0"/>
          <w:numId w:val="1007"/>
        </w:numPr>
      </w:pPr>
      <w:r>
        <w:rPr>
          <w:b/>
          <w:bCs/>
        </w:rPr>
        <w:t xml:space="preserve">kb_index_runs</w:t>
      </w:r>
      <w:r>
        <w:t xml:space="preserve"> </w:t>
      </w:r>
      <w:r>
        <w:t xml:space="preserve">— Tracks BM25 indexing operations with status, document count, and error messages.</w:t>
      </w:r>
    </w:p>
    <w:p>
      <w:pPr>
        <w:pStyle w:val="FirstParagraph"/>
      </w:pPr>
      <w:r>
        <w:rPr>
          <w:b/>
          <w:bCs/>
        </w:rPr>
        <w:t xml:space="preserve">Infrastructure Tables:</w:t>
      </w:r>
    </w:p>
    <w:p>
      <w:pPr>
        <w:pStyle w:val="Compact"/>
        <w:numPr>
          <w:ilvl w:val="0"/>
          <w:numId w:val="1008"/>
        </w:numPr>
      </w:pPr>
      <w:r>
        <w:rPr>
          <w:b/>
          <w:bCs/>
        </w:rPr>
        <w:t xml:space="preserve">ecs_instances</w:t>
      </w:r>
      <w:r>
        <w:t xml:space="preserve"> </w:t>
      </w:r>
      <w:r>
        <w:t xml:space="preserve">— Tracks Alibaba Cloud ECS instances for multi-LGU deployments.</w:t>
      </w:r>
    </w:p>
    <w:p>
      <w:pPr>
        <w:pStyle w:val="Compact"/>
        <w:numPr>
          <w:ilvl w:val="0"/>
          <w:numId w:val="1008"/>
        </w:numPr>
      </w:pPr>
      <w:r>
        <w:rPr>
          <w:b/>
          <w:bCs/>
        </w:rPr>
        <w:t xml:space="preserve">lgu_deployments</w:t>
      </w:r>
      <w:r>
        <w:t xml:space="preserve"> </w:t>
      </w:r>
      <w:r>
        <w:t xml:space="preserve">— Tracks per-LGU Docker deployment configurations with container name, port, image tag, domain, and health status.</w:t>
      </w:r>
    </w:p>
    <w:bookmarkEnd w:id="19"/>
    <w:bookmarkStart w:id="20" w:name="bm25-search-index"/>
    <w:p>
      <w:pPr>
        <w:pStyle w:val="Heading3"/>
      </w:pPr>
      <w:r>
        <w:t xml:space="preserve">3.3 BM25 Search Index</w:t>
      </w:r>
    </w:p>
    <w:p>
      <w:pPr>
        <w:pStyle w:val="FirstParagraph"/>
      </w:pPr>
      <w:r>
        <w:t xml:space="preserve">The BM25 (Best Matching 25) search index is a pre-built JSON file (</w:t>
      </w:r>
      <w:r>
        <w:rPr>
          <w:rStyle w:val="VerbatimChar"/>
        </w:rPr>
        <w:t xml:space="preserve">search-index.json</w:t>
      </w:r>
      <w:r>
        <w:t xml:space="preserve">) bundled into the Docker image at build time. It contains 2,634 legal documents with term frequency maps, IDF scores, and average document length for keyword-based retrieval.</w:t>
      </w:r>
    </w:p>
    <w:p>
      <w:pPr>
        <w:pStyle w:val="BodyText"/>
      </w:pPr>
      <w:r>
        <w:t xml:space="preserve">Each indexed document contains: id, doc_type, title, section_number, ordinance_number, snippet (preview text), terms (term frequency map), topics array, series_year, and rule_number.</w:t>
      </w:r>
    </w:p>
    <w:p>
      <w:pPr>
        <w:pStyle w:val="BodyText"/>
      </w:pPr>
      <w:r>
        <w:t xml:space="preserve">The BM25 implementation includes bilingual stop word lists (approximately 80 English and 50 Filipino words), score boosting for exact section number matches (5x), exact ordinance number matches (5x), and topic term matches (1.5x). A minimum relevance threshold of 0.15 filters weak matches.</w:t>
      </w:r>
    </w:p>
    <w:bookmarkEnd w:id="20"/>
    <w:bookmarkStart w:id="21" w:name="citation-validation-pipeline"/>
    <w:p>
      <w:pPr>
        <w:pStyle w:val="Heading3"/>
      </w:pPr>
      <w:r>
        <w:t xml:space="preserve">3.4 Citation Validation Pipeline</w:t>
      </w:r>
    </w:p>
    <w:p>
      <w:pPr>
        <w:pStyle w:val="FirstParagraph"/>
      </w:pPr>
      <w:r>
        <w:t xml:space="preserve">The citation validator (</w:t>
      </w:r>
      <w:r>
        <w:rPr>
          <w:rStyle w:val="VerbatimChar"/>
        </w:rPr>
        <w:t xml:space="preserve">citation-validator.ts</w:t>
      </w:r>
      <w:r>
        <w:t xml:space="preserve">) extracts and verifies legal citations from LLM responses using three regex patterns:</w:t>
      </w:r>
    </w:p>
    <w:p>
      <w:pPr>
        <w:pStyle w:val="Compact"/>
        <w:numPr>
          <w:ilvl w:val="0"/>
          <w:numId w:val="1009"/>
        </w:numPr>
      </w:pPr>
      <w:r>
        <w:rPr>
          <w:b/>
          <w:bCs/>
        </w:rPr>
        <w:t xml:space="preserve">R.A. 7160 sections</w:t>
      </w:r>
      <w:r>
        <w:t xml:space="preserve"> </w:t>
      </w:r>
      <w:r>
        <w:t xml:space="preserve">— Matches</w:t>
      </w:r>
      <w:r>
        <w:t xml:space="preserve"> </w:t>
      </w:r>
      <w:r>
        <w:t xml:space="preserve">“Section XXX”</w:t>
      </w:r>
      <w:r>
        <w:t xml:space="preserve"> </w:t>
      </w:r>
      <w:r>
        <w:t xml:space="preserve">or</w:t>
      </w:r>
      <w:r>
        <w:t xml:space="preserve"> </w:t>
      </w:r>
      <w:r>
        <w:t xml:space="preserve">“Sec. XXX”</w:t>
      </w:r>
      <w:r>
        <w:t xml:space="preserve"> </w:t>
      </w:r>
      <w:r>
        <w:t xml:space="preserve">references with optional sub-sections like (a)(3)(iii). Validated against</w:t>
      </w:r>
      <w:r>
        <w:t xml:space="preserve"> </w:t>
      </w:r>
      <w:r>
        <w:rPr>
          <w:rStyle w:val="VerbatimChar"/>
        </w:rPr>
        <w:t xml:space="preserve">doc_type: "ra7160"</w:t>
      </w:r>
      <w:r>
        <w:t xml:space="preserve"> </w:t>
      </w:r>
      <w:r>
        <w:t xml:space="preserve">entries in the search index.</w:t>
      </w:r>
    </w:p>
    <w:p>
      <w:pPr>
        <w:pStyle w:val="Compact"/>
        <w:numPr>
          <w:ilvl w:val="0"/>
          <w:numId w:val="1009"/>
        </w:numPr>
      </w:pPr>
      <w:r>
        <w:rPr>
          <w:b/>
          <w:bCs/>
        </w:rPr>
        <w:t xml:space="preserve">Municipal Ordinances</w:t>
      </w:r>
      <w:r>
        <w:t xml:space="preserve"> </w:t>
      </w:r>
      <w:r>
        <w:t xml:space="preserve">— Matches</w:t>
      </w:r>
      <w:r>
        <w:t xml:space="preserve"> </w:t>
      </w:r>
      <w:r>
        <w:t xml:space="preserve">“Municipal Ordinance No. XX, S. YYYY”</w:t>
      </w:r>
      <w:r>
        <w:t xml:space="preserve"> </w:t>
      </w:r>
      <w:r>
        <w:t xml:space="preserve">patterns. Validated against</w:t>
      </w:r>
      <w:r>
        <w:t xml:space="preserve"> </w:t>
      </w:r>
      <w:r>
        <w:rPr>
          <w:rStyle w:val="VerbatimChar"/>
        </w:rPr>
        <w:t xml:space="preserve">doc_type: "ordinance"</w:t>
      </w:r>
      <w:r>
        <w:t xml:space="preserve"> </w:t>
      </w:r>
      <w:r>
        <w:t xml:space="preserve">entries with leading-zero-normalized ordinance numbers.</w:t>
      </w:r>
    </w:p>
    <w:p>
      <w:pPr>
        <w:pStyle w:val="Compact"/>
        <w:numPr>
          <w:ilvl w:val="0"/>
          <w:numId w:val="1009"/>
        </w:numPr>
      </w:pPr>
      <w:r>
        <w:rPr>
          <w:b/>
          <w:bCs/>
        </w:rPr>
        <w:t xml:space="preserve">IRR Rules</w:t>
      </w:r>
      <w:r>
        <w:t xml:space="preserve"> </w:t>
      </w:r>
      <w:r>
        <w:t xml:space="preserve">— Matches</w:t>
      </w:r>
      <w:r>
        <w:t xml:space="preserve"> </w:t>
      </w:r>
      <w:r>
        <w:t xml:space="preserve">“IRR of R.A. 7160, Rule XX”</w:t>
      </w:r>
      <w:r>
        <w:t xml:space="preserve"> </w:t>
      </w:r>
      <w:r>
        <w:t xml:space="preserve">with Roman numeral conversion. Validated against</w:t>
      </w:r>
      <w:r>
        <w:t xml:space="preserve"> </w:t>
      </w:r>
      <w:r>
        <w:rPr>
          <w:rStyle w:val="VerbatimChar"/>
        </w:rPr>
        <w:t xml:space="preserve">doc_type: "irr"</w:t>
      </w:r>
      <w:r>
        <w:t xml:space="preserve"> </w:t>
      </w:r>
      <w:r>
        <w:t xml:space="preserve">entries.</w:t>
      </w:r>
    </w:p>
    <w:p>
      <w:pPr>
        <w:pStyle w:val="FirstParagraph"/>
      </w:pPr>
      <w:r>
        <w:t xml:space="preserve">Only citations that the LLM actually includes in its response are validated and displayed. Raw retrieval results that were not cited by the LLM are excluded entirely — this prevents irrelevant citations from appearing in the UI.</w:t>
      </w:r>
    </w:p>
    <w:p>
      <w:r>
        <w:pict>
          <v:rect style="width:0;height:1.5pt" o:hralign="center" o:hrstd="t" o:hr="t"/>
        </w:pict>
      </w:r>
    </w:p>
    <w:bookmarkEnd w:id="21"/>
    <w:bookmarkEnd w:id="22"/>
    <w:bookmarkStart w:id="27" w:name="llm-integration-via-openrouter"/>
    <w:p>
      <w:pPr>
        <w:pStyle w:val="Heading2"/>
      </w:pPr>
      <w:r>
        <w:t xml:space="preserve">4. LLM Integration via OpenRouter</w:t>
      </w:r>
    </w:p>
    <w:bookmarkStart w:id="23" w:name="architecture-overview"/>
    <w:p>
      <w:pPr>
        <w:pStyle w:val="Heading3"/>
      </w:pPr>
      <w:r>
        <w:t xml:space="preserve">4.1 Architecture Overview</w:t>
      </w:r>
    </w:p>
    <w:p>
      <w:pPr>
        <w:pStyle w:val="FirstParagraph"/>
      </w:pPr>
      <w:r>
        <w:t xml:space="preserve">All LLM calls are routed through OpenRouter, an API gateway that provides a unified OpenAI-compatible interface to multiple LLM providers. pillar-pilot uses the official OpenAI SDK (</w:t>
      </w:r>
      <w:r>
        <w:rPr>
          <w:rStyle w:val="VerbatimChar"/>
        </w:rPr>
        <w:t xml:space="preserve">openai</w:t>
      </w:r>
      <w:r>
        <w:t xml:space="preserve"> </w:t>
      </w:r>
      <w:r>
        <w:t xml:space="preserve">npm package) configured with</w:t>
      </w:r>
      <w:r>
        <w:t xml:space="preserve"> </w:t>
      </w:r>
      <w:r>
        <w:rPr>
          <w:rStyle w:val="VerbatimChar"/>
        </w:rPr>
        <w:t xml:space="preserve">baseURL: https://openrouter.ai/api/v1</w:t>
      </w:r>
      <w:r>
        <w:t xml:space="preserve"> </w:t>
      </w:r>
      <w:r>
        <w:t xml:space="preserve">and a single API key stored in the</w:t>
      </w:r>
      <w:r>
        <w:t xml:space="preserve"> </w:t>
      </w:r>
      <w:r>
        <w:rPr>
          <w:rStyle w:val="VerbatimChar"/>
        </w:rPr>
        <w:t xml:space="preserve">OPENROUTER_API_KEY</w:t>
      </w:r>
      <w:r>
        <w:t xml:space="preserve"> </w:t>
      </w:r>
      <w:r>
        <w:t xml:space="preserve">environment variable.</w:t>
      </w:r>
    </w:p>
    <w:p>
      <w:pPr>
        <w:pStyle w:val="BodyText"/>
      </w:pPr>
      <w:r>
        <w:t xml:space="preserve">This means pillar-pilot does not host or run any language models locally. Every inference request — whether for chat, drafting, review, or document extraction — is an outbound HTTPS call from the container to OpenRouter’s servers.</w:t>
      </w:r>
    </w:p>
    <w:bookmarkEnd w:id="23"/>
    <w:bookmarkStart w:id="24" w:name="shared-llm-client"/>
    <w:p>
      <w:pPr>
        <w:pStyle w:val="Heading3"/>
      </w:pPr>
      <w:r>
        <w:t xml:space="preserve">4.2 Shared LLM Client</w:t>
      </w:r>
    </w:p>
    <w:p>
      <w:pPr>
        <w:pStyle w:val="FirstParagraph"/>
      </w:pPr>
      <w:r>
        <w:t xml:space="preserve">The shared client (</w:t>
      </w:r>
      <w:r>
        <w:rPr>
          <w:rStyle w:val="VerbatimChar"/>
        </w:rPr>
        <w:t xml:space="preserve">src/lib/ai/llm.ts</w:t>
      </w:r>
      <w:r>
        <w:t xml:space="preserve">) provides two functions:</w:t>
      </w:r>
    </w:p>
    <w:p>
      <w:pPr>
        <w:pStyle w:val="BodyText"/>
      </w:pPr>
      <w:r>
        <w:rPr>
          <w:b/>
          <w:bCs/>
        </w:rPr>
        <w:t xml:space="preserve">streamChatResponse(systemPrompt, messages, ragContext?)</w:t>
      </w:r>
      <w:r>
        <w:t xml:space="preserve"> </w:t>
      </w:r>
      <w:r>
        <w:t xml:space="preserve">— Used by ELLA and YALA for real-time streaming chat. Sends messages with the system prompt (optionally appended with RAG context) to the LLM and returns a Server-Sent Events stream. Configured with</w:t>
      </w:r>
      <w:r>
        <w:t xml:space="preserve"> </w:t>
      </w:r>
      <w:r>
        <w:rPr>
          <w:rStyle w:val="VerbatimChar"/>
        </w:rPr>
        <w:t xml:space="preserve">max_tokens: 2048</w:t>
      </w:r>
      <w:r>
        <w:t xml:space="preserve"> </w:t>
      </w:r>
      <w:r>
        <w:t xml:space="preserve">and</w:t>
      </w:r>
      <w:r>
        <w:t xml:space="preserve"> </w:t>
      </w:r>
      <w:r>
        <w:rPr>
          <w:rStyle w:val="VerbatimChar"/>
        </w:rPr>
        <w:t xml:space="preserve">temperature: 0.3</w:t>
      </w:r>
      <w:r>
        <w:t xml:space="preserve">.</w:t>
      </w:r>
    </w:p>
    <w:p>
      <w:pPr>
        <w:pStyle w:val="BodyText"/>
      </w:pPr>
      <w:r>
        <w:rPr>
          <w:b/>
          <w:bCs/>
        </w:rPr>
        <w:t xml:space="preserve">chatCompletion(systemPrompt, userPrompt, options?)</w:t>
      </w:r>
      <w:r>
        <w:t xml:space="preserve"> </w:t>
      </w:r>
      <w:r>
        <w:t xml:space="preserve">— Used by OBRA for non-streaming tasks like draft generation, compliance review, and fix application. Accepts optional</w:t>
      </w:r>
      <w:r>
        <w:t xml:space="preserve"> </w:t>
      </w:r>
      <w:r>
        <w:rPr>
          <w:rStyle w:val="VerbatimChar"/>
        </w:rPr>
        <w:t xml:space="preserve">maxTokens</w:t>
      </w:r>
      <w:r>
        <w:t xml:space="preserve"> </w:t>
      </w:r>
      <w:r>
        <w:t xml:space="preserve">(default 4096) and</w:t>
      </w:r>
      <w:r>
        <w:t xml:space="preserve"> </w:t>
      </w:r>
      <w:r>
        <w:rPr>
          <w:rStyle w:val="VerbatimChar"/>
        </w:rPr>
        <w:t xml:space="preserve">temperature</w:t>
      </w:r>
      <w:r>
        <w:t xml:space="preserve"> </w:t>
      </w:r>
      <w:r>
        <w:t xml:space="preserve">(default 0.3) parameters. Returns the complete response as a string.</w:t>
      </w:r>
    </w:p>
    <w:p>
      <w:pPr>
        <w:pStyle w:val="BodyText"/>
      </w:pPr>
      <w:r>
        <w:t xml:space="preserve">Both functions only support plain text message content (</w:t>
      </w:r>
      <w:r>
        <w:rPr>
          <w:rStyle w:val="VerbatimChar"/>
        </w:rPr>
        <w:t xml:space="preserve">{ role, content: string }</w:t>
      </w:r>
      <w:r>
        <w:t xml:space="preserve">). The default model is</w:t>
      </w:r>
      <w:r>
        <w:t xml:space="preserve"> </w:t>
      </w:r>
      <w:r>
        <w:rPr>
          <w:rStyle w:val="VerbatimChar"/>
        </w:rPr>
        <w:t xml:space="preserve">qwen/qwen3.7-plus</w:t>
      </w:r>
      <w:r>
        <w:t xml:space="preserve">, overridable via the</w:t>
      </w:r>
      <w:r>
        <w:t xml:space="preserve"> </w:t>
      </w:r>
      <w:r>
        <w:rPr>
          <w:rStyle w:val="VerbatimChar"/>
        </w:rPr>
        <w:t xml:space="preserve">LLM_MODEL</w:t>
      </w:r>
      <w:r>
        <w:t xml:space="preserve"> </w:t>
      </w:r>
      <w:r>
        <w:t xml:space="preserve">environment variable.</w:t>
      </w:r>
    </w:p>
    <w:bookmarkEnd w:id="24"/>
    <w:bookmarkStart w:id="25" w:name="route-to-model-mapping"/>
    <w:p>
      <w:pPr>
        <w:pStyle w:val="Heading3"/>
      </w:pPr>
      <w:r>
        <w:t xml:space="preserve">4.3 Route-to-Model Mapping</w:t>
      </w:r>
    </w:p>
    <w:tbl>
      <w:tblPr>
        <w:tblStyle w:val="Table"/>
        <w:tblW w:type="pct" w:w="5000"/>
        <w:tblLayout w:type="fixed"/>
        <w:tblLook w:firstRow="1" w:lastRow="0" w:firstColumn="0" w:lastColumn="0" w:noHBand="0" w:noVBand="0" w:val="0020"/>
      </w:tblPr>
      <w:tblGrid>
        <w:gridCol w:w="1708"/>
        <w:gridCol w:w="1087"/>
        <w:gridCol w:w="2018"/>
        <w:gridCol w:w="1708"/>
        <w:gridCol w:w="1397"/>
      </w:tblGrid>
      <w:tr>
        <w:trPr>
          <w:tblHeader w:val="on"/>
        </w:trPr>
        <w:tc>
          <w:tcPr/>
          <w:p>
            <w:pPr>
              <w:pStyle w:val="Compact"/>
            </w:pPr>
            <w:r>
              <w:t xml:space="preserve">API Route</w:t>
            </w:r>
          </w:p>
        </w:tc>
        <w:tc>
          <w:tcPr/>
          <w:p>
            <w:pPr>
              <w:pStyle w:val="Compact"/>
            </w:pPr>
            <w:r>
              <w:t xml:space="preserve">Model</w:t>
            </w:r>
          </w:p>
        </w:tc>
        <w:tc>
          <w:tcPr/>
          <w:p>
            <w:pPr>
              <w:pStyle w:val="Compact"/>
            </w:pPr>
            <w:r>
              <w:t xml:space="preserve">Temperature</w:t>
            </w:r>
          </w:p>
        </w:tc>
        <w:tc>
          <w:tcPr/>
          <w:p>
            <w:pPr>
              <w:pStyle w:val="Compact"/>
            </w:pPr>
            <w:r>
              <w:t xml:space="preserve">Streaming</w:t>
            </w:r>
          </w:p>
        </w:tc>
        <w:tc>
          <w:tcPr/>
          <w:p>
            <w:pPr>
              <w:pStyle w:val="Compact"/>
            </w:pPr>
            <w:r>
              <w:t xml:space="preserve">Purpose</w:t>
            </w:r>
          </w:p>
        </w:tc>
      </w:tr>
      <w:tr>
        <w:tc>
          <w:tcPr/>
          <w:p>
            <w:pPr>
              <w:pStyle w:val="Compact"/>
            </w:pPr>
            <w:r>
              <w:rPr>
                <w:rStyle w:val="VerbatimChar"/>
              </w:rPr>
              <w:t xml:space="preserve">/api/chat</w:t>
            </w:r>
            <w:r>
              <w:t xml:space="preserve"> </w:t>
            </w:r>
            <w:r>
              <w:t xml:space="preserve">(ELLA)</w:t>
            </w:r>
          </w:p>
        </w:tc>
        <w:tc>
          <w:tcPr/>
          <w:p>
            <w:pPr>
              <w:pStyle w:val="Compact"/>
            </w:pPr>
            <w:r>
              <w:t xml:space="preserve">qwen/qwen3.7-plus</w:t>
            </w:r>
          </w:p>
        </w:tc>
        <w:tc>
          <w:tcPr/>
          <w:p>
            <w:pPr>
              <w:pStyle w:val="Compact"/>
            </w:pPr>
            <w:r>
              <w:t xml:space="preserve">0.3</w:t>
            </w:r>
          </w:p>
        </w:tc>
        <w:tc>
          <w:tcPr/>
          <w:p>
            <w:pPr>
              <w:pStyle w:val="Compact"/>
            </w:pPr>
            <w:r>
              <w:t xml:space="preserve">Yes</w:t>
            </w:r>
          </w:p>
        </w:tc>
        <w:tc>
          <w:tcPr/>
          <w:p>
            <w:pPr>
              <w:pStyle w:val="Compact"/>
            </w:pPr>
            <w:r>
              <w:t xml:space="preserve">Legal research chat</w:t>
            </w:r>
          </w:p>
        </w:tc>
      </w:tr>
      <w:tr>
        <w:tc>
          <w:tcPr/>
          <w:p>
            <w:pPr>
              <w:pStyle w:val="Compact"/>
            </w:pPr>
            <w:r>
              <w:rPr>
                <w:rStyle w:val="VerbatimChar"/>
              </w:rPr>
              <w:t xml:space="preserve">/api/chat</w:t>
            </w:r>
            <w:r>
              <w:t xml:space="preserve"> </w:t>
            </w:r>
            <w:r>
              <w:t xml:space="preserve">(YALA)</w:t>
            </w:r>
          </w:p>
        </w:tc>
        <w:tc>
          <w:tcPr/>
          <w:p>
            <w:pPr>
              <w:pStyle w:val="Compact"/>
            </w:pPr>
            <w:r>
              <w:t xml:space="preserve">qwen/qwen3.7-plus</w:t>
            </w:r>
          </w:p>
        </w:tc>
        <w:tc>
          <w:tcPr/>
          <w:p>
            <w:pPr>
              <w:pStyle w:val="Compact"/>
            </w:pPr>
            <w:r>
              <w:t xml:space="preserve">0.3</w:t>
            </w:r>
          </w:p>
        </w:tc>
        <w:tc>
          <w:tcPr/>
          <w:p>
            <w:pPr>
              <w:pStyle w:val="Compact"/>
            </w:pPr>
            <w:r>
              <w:t xml:space="preserve">Yes</w:t>
            </w:r>
          </w:p>
        </w:tc>
        <w:tc>
          <w:tcPr/>
          <w:p>
            <w:pPr>
              <w:pStyle w:val="Compact"/>
            </w:pPr>
            <w:r>
              <w:t xml:space="preserve">Citizen information chat</w:t>
            </w:r>
          </w:p>
        </w:tc>
      </w:tr>
      <w:tr>
        <w:tc>
          <w:tcPr/>
          <w:p>
            <w:pPr>
              <w:pStyle w:val="Compact"/>
            </w:pPr>
            <w:r>
              <w:rPr>
                <w:rStyle w:val="VerbatimChar"/>
              </w:rPr>
              <w:t xml:space="preserve">/api/obra/draft</w:t>
            </w:r>
          </w:p>
        </w:tc>
        <w:tc>
          <w:tcPr/>
          <w:p>
            <w:pPr>
              <w:pStyle w:val="Compact"/>
            </w:pPr>
            <w:r>
              <w:t xml:space="preserve">qwen/qwen3.7-plus</w:t>
            </w:r>
          </w:p>
        </w:tc>
        <w:tc>
          <w:tcPr/>
          <w:p>
            <w:pPr>
              <w:pStyle w:val="Compact"/>
            </w:pPr>
            <w:r>
              <w:t xml:space="preserve">0.5</w:t>
            </w:r>
          </w:p>
        </w:tc>
        <w:tc>
          <w:tcPr/>
          <w:p>
            <w:pPr>
              <w:pStyle w:val="Compact"/>
            </w:pPr>
            <w:r>
              <w:t xml:space="preserve">No</w:t>
            </w:r>
          </w:p>
        </w:tc>
        <w:tc>
          <w:tcPr/>
          <w:p>
            <w:pPr>
              <w:pStyle w:val="Compact"/>
            </w:pPr>
            <w:r>
              <w:t xml:space="preserve">Ordinance draft generation</w:t>
            </w:r>
          </w:p>
        </w:tc>
      </w:tr>
      <w:tr>
        <w:tc>
          <w:tcPr/>
          <w:p>
            <w:pPr>
              <w:pStyle w:val="Compact"/>
            </w:pPr>
            <w:r>
              <w:rPr>
                <w:rStyle w:val="VerbatimChar"/>
              </w:rPr>
              <w:t xml:space="preserve">/api/obra/review</w:t>
            </w:r>
          </w:p>
        </w:tc>
        <w:tc>
          <w:tcPr/>
          <w:p>
            <w:pPr>
              <w:pStyle w:val="Compact"/>
            </w:pPr>
            <w:r>
              <w:t xml:space="preserve">qwen/qwen3.7-plus</w:t>
            </w:r>
          </w:p>
        </w:tc>
        <w:tc>
          <w:tcPr/>
          <w:p>
            <w:pPr>
              <w:pStyle w:val="Compact"/>
            </w:pPr>
            <w:r>
              <w:t xml:space="preserve">0.1</w:t>
            </w:r>
          </w:p>
        </w:tc>
        <w:tc>
          <w:tcPr/>
          <w:p>
            <w:pPr>
              <w:pStyle w:val="Compact"/>
            </w:pPr>
            <w:r>
              <w:t xml:space="preserve">No</w:t>
            </w:r>
          </w:p>
        </w:tc>
        <w:tc>
          <w:tcPr/>
          <w:p>
            <w:pPr>
              <w:pStyle w:val="Compact"/>
            </w:pPr>
            <w:r>
              <w:t xml:space="preserve">Compliance review (low temp for precision)</w:t>
            </w:r>
          </w:p>
        </w:tc>
      </w:tr>
      <w:tr>
        <w:tc>
          <w:tcPr/>
          <w:p>
            <w:pPr>
              <w:pStyle w:val="Compact"/>
            </w:pPr>
            <w:r>
              <w:rPr>
                <w:rStyle w:val="VerbatimChar"/>
              </w:rPr>
              <w:t xml:space="preserve">/api/obra/fix</w:t>
            </w:r>
          </w:p>
        </w:tc>
        <w:tc>
          <w:tcPr/>
          <w:p>
            <w:pPr>
              <w:pStyle w:val="Compact"/>
            </w:pPr>
            <w:r>
              <w:t xml:space="preserve">qwen/qwen3.7-plus</w:t>
            </w:r>
          </w:p>
        </w:tc>
        <w:tc>
          <w:tcPr/>
          <w:p>
            <w:pPr>
              <w:pStyle w:val="Compact"/>
            </w:pPr>
            <w:r>
              <w:t xml:space="preserve">0.3</w:t>
            </w:r>
          </w:p>
        </w:tc>
        <w:tc>
          <w:tcPr/>
          <w:p>
            <w:pPr>
              <w:pStyle w:val="Compact"/>
            </w:pPr>
            <w:r>
              <w:t xml:space="preserve">No</w:t>
            </w:r>
          </w:p>
        </w:tc>
        <w:tc>
          <w:tcPr/>
          <w:p>
            <w:pPr>
              <w:pStyle w:val="Compact"/>
            </w:pPr>
            <w:r>
              <w:t xml:space="preserve">Apply selected fixes to draft</w:t>
            </w:r>
          </w:p>
        </w:tc>
      </w:tr>
      <w:tr>
        <w:tc>
          <w:tcPr/>
          <w:p>
            <w:pPr>
              <w:pStyle w:val="Compact"/>
            </w:pPr>
            <w:r>
              <w:rPr>
                <w:rStyle w:val="VerbatimChar"/>
              </w:rPr>
              <w:t xml:space="preserve">/api/obra/extract</w:t>
            </w:r>
            <w:r>
              <w:t xml:space="preserve"> </w:t>
            </w:r>
            <w:r>
              <w:t xml:space="preserve">(images)</w:t>
            </w:r>
          </w:p>
        </w:tc>
        <w:tc>
          <w:tcPr/>
          <w:p>
            <w:pPr>
              <w:pStyle w:val="Compact"/>
            </w:pPr>
            <w:r>
              <w:t xml:space="preserve">qwen/qwen3.7-plus</w:t>
            </w:r>
          </w:p>
        </w:tc>
        <w:tc>
          <w:tcPr/>
          <w:p>
            <w:pPr>
              <w:pStyle w:val="Compact"/>
            </w:pPr>
            <w:r>
              <w:t xml:space="preserve">0</w:t>
            </w:r>
          </w:p>
        </w:tc>
        <w:tc>
          <w:tcPr/>
          <w:p>
            <w:pPr>
              <w:pStyle w:val="Compact"/>
            </w:pPr>
            <w:r>
              <w:t xml:space="preserve">No</w:t>
            </w:r>
          </w:p>
        </w:tc>
        <w:tc>
          <w:tcPr/>
          <w:p>
            <w:pPr>
              <w:pStyle w:val="Compact"/>
            </w:pPr>
            <w:r>
              <w:t xml:space="preserve">Image OCR (visual reasoning)</w:t>
            </w:r>
          </w:p>
        </w:tc>
      </w:tr>
      <w:tr>
        <w:tc>
          <w:tcPr/>
          <w:p>
            <w:pPr>
              <w:pStyle w:val="Compact"/>
            </w:pPr>
            <w:r>
              <w:rPr>
                <w:rStyle w:val="VerbatimChar"/>
              </w:rPr>
              <w:t xml:space="preserve">/api/obra/extract</w:t>
            </w:r>
            <w:r>
              <w:t xml:space="preserve"> </w:t>
            </w:r>
            <w:r>
              <w:t xml:space="preserve">(PDFs)</w:t>
            </w:r>
          </w:p>
        </w:tc>
        <w:tc>
          <w:tcPr/>
          <w:p>
            <w:pPr>
              <w:pStyle w:val="Compact"/>
            </w:pPr>
            <w:r>
              <w:t xml:space="preserve">google/gemini-2.5-flash</w:t>
            </w:r>
          </w:p>
        </w:tc>
        <w:tc>
          <w:tcPr/>
          <w:p>
            <w:pPr>
              <w:pStyle w:val="Compact"/>
            </w:pPr>
            <w:r>
              <w:t xml:space="preserve">0</w:t>
            </w:r>
          </w:p>
        </w:tc>
        <w:tc>
          <w:tcPr/>
          <w:p>
            <w:pPr>
              <w:pStyle w:val="Compact"/>
            </w:pPr>
            <w:r>
              <w:t xml:space="preserve">No</w:t>
            </w:r>
          </w:p>
        </w:tc>
        <w:tc>
          <w:tcPr/>
          <w:p>
            <w:pPr>
              <w:pStyle w:val="Compact"/>
            </w:pPr>
            <w:r>
              <w:t xml:space="preserve">PDF OCR (native PDF input)</w:t>
            </w:r>
          </w:p>
        </w:tc>
      </w:tr>
    </w:tbl>
    <w:bookmarkEnd w:id="25"/>
    <w:bookmarkStart w:id="26" w:name="Xe40915f9a86fcba194ff9f7fe9627b723574b3a"/>
    <w:p>
      <w:pPr>
        <w:pStyle w:val="Heading3"/>
      </w:pPr>
      <w:r>
        <w:t xml:space="preserve">4.4 Why OBRA Extract Uses Direct Fetch Instead of the Shared Client</w:t>
      </w:r>
    </w:p>
    <w:p>
      <w:pPr>
        <w:pStyle w:val="FirstParagraph"/>
      </w:pPr>
      <w:r>
        <w:t xml:space="preserve">The OBRA extract route (</w:t>
      </w:r>
      <w:r>
        <w:rPr>
          <w:rStyle w:val="VerbatimChar"/>
        </w:rPr>
        <w:t xml:space="preserve">/api/obra/extract</w:t>
      </w:r>
      <w:r>
        <w:t xml:space="preserve">) calls OpenRouter via a direct</w:t>
      </w:r>
      <w:r>
        <w:t xml:space="preserve"> </w:t>
      </w:r>
      <w:r>
        <w:rPr>
          <w:rStyle w:val="VerbatimChar"/>
        </w:rPr>
        <w:t xml:space="preserve">fetch()</w:t>
      </w:r>
      <w:r>
        <w:t xml:space="preserve"> </w:t>
      </w:r>
      <w:r>
        <w:t xml:space="preserve">call rather than using the shared</w:t>
      </w:r>
      <w:r>
        <w:t xml:space="preserve"> </w:t>
      </w:r>
      <w:r>
        <w:rPr>
          <w:rStyle w:val="VerbatimChar"/>
        </w:rPr>
        <w:t xml:space="preserve">chatCompletion()</w:t>
      </w:r>
      <w:r>
        <w:t xml:space="preserve"> </w:t>
      </w:r>
      <w:r>
        <w:t xml:space="preserve">function. This is a deliberate technical decision driven by the multimodal nature of the extraction task.</w:t>
      </w:r>
    </w:p>
    <w:p>
      <w:pPr>
        <w:pStyle w:val="BodyText"/>
      </w:pPr>
      <w:r>
        <w:t xml:space="preserve">The shared LLM client only supports plain text content in its message payloads — the</w:t>
      </w:r>
      <w:r>
        <w:t xml:space="preserve"> </w:t>
      </w:r>
      <w:r>
        <w:rPr>
          <w:rStyle w:val="VerbatimChar"/>
        </w:rPr>
        <w:t xml:space="preserve">content</w:t>
      </w:r>
      <w:r>
        <w:t xml:space="preserve"> </w:t>
      </w:r>
      <w:r>
        <w:t xml:space="preserve">field is typed as</w:t>
      </w:r>
      <w:r>
        <w:t xml:space="preserve"> </w:t>
      </w:r>
      <w:r>
        <w:rPr>
          <w:rStyle w:val="VerbatimChar"/>
        </w:rPr>
        <w:t xml:space="preserve">string</w:t>
      </w:r>
      <w:r>
        <w:t xml:space="preserve">. However, extracting text from uploaded images and PDFs requires sending base64-encoded binary data as part of the message content using the OpenAI vision API format:</w:t>
      </w:r>
    </w:p>
    <w:p>
      <w:pPr>
        <w:pStyle w:val="SourceCode"/>
      </w:pP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"Extract all text from this document..."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"image_url"</w:t>
      </w:r>
      <w:r>
        <w:rPr>
          <w:rStyle w:val="FunctionTok"/>
        </w:rPr>
        <w:t xml:space="preserve">,</w:t>
      </w:r>
      <w:r>
        <w:rPr>
          <w:rStyle w:val="NormalTok"/>
        </w:rPr>
        <w:t xml:space="preserve"> </w:t>
      </w:r>
      <w:r>
        <w:rPr>
          <w:rStyle w:val="DataTypeTok"/>
        </w:rPr>
        <w:t xml:space="preserve">"image_url"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"data:application/pdf;base64,..."</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This multipart content array structure cannot be expressed through the shared client’s string-only interface. The direct fetch call constructs the proper OpenRouter-compatible payload with:</w:t>
      </w:r>
    </w:p>
    <w:p>
      <w:pPr>
        <w:pStyle w:val="Compact"/>
        <w:numPr>
          <w:ilvl w:val="0"/>
          <w:numId w:val="1010"/>
        </w:numPr>
      </w:pPr>
      <w:r>
        <w:rPr>
          <w:b/>
          <w:bCs/>
        </w:rPr>
        <w:t xml:space="preserve">Custom HTTP headers:</w:t>
      </w:r>
      <w:r>
        <w:t xml:space="preserve"> </w:t>
      </w:r>
      <w:r>
        <w:rPr>
          <w:rStyle w:val="VerbatimChar"/>
        </w:rPr>
        <w:t xml:space="preserve">HTTP-Referer: https://obra.pillar.bayanaihan.net</w:t>
      </w:r>
      <w:r>
        <w:t xml:space="preserve"> </w:t>
      </w:r>
      <w:r>
        <w:t xml:space="preserve">and</w:t>
      </w:r>
      <w:r>
        <w:t xml:space="preserve"> </w:t>
      </w:r>
      <w:r>
        <w:rPr>
          <w:rStyle w:val="VerbatimChar"/>
        </w:rPr>
        <w:t xml:space="preserve">X-Title: OBRA - Ordinance Text Extractor</w:t>
      </w:r>
      <w:r>
        <w:t xml:space="preserve"> </w:t>
      </w:r>
      <w:r>
        <w:t xml:space="preserve">for OpenRouter analytics.</w:t>
      </w:r>
    </w:p>
    <w:p>
      <w:pPr>
        <w:pStyle w:val="Compact"/>
        <w:numPr>
          <w:ilvl w:val="0"/>
          <w:numId w:val="1010"/>
        </w:numPr>
      </w:pPr>
      <w:r>
        <w:rPr>
          <w:b/>
          <w:bCs/>
        </w:rPr>
        <w:t xml:space="preserve">Model selection per file type:</w:t>
      </w:r>
      <w:r>
        <w:t xml:space="preserve"> </w:t>
      </w:r>
      <w:r>
        <w:rPr>
          <w:rStyle w:val="VerbatimChar"/>
        </w:rPr>
        <w:t xml:space="preserve">qwen/qwen3.7-plus</w:t>
      </w:r>
      <w:r>
        <w:t xml:space="preserve"> </w:t>
      </w:r>
      <w:r>
        <w:t xml:space="preserve">for images (better visual reasoning) and</w:t>
      </w:r>
      <w:r>
        <w:t xml:space="preserve"> </w:t>
      </w:r>
      <w:r>
        <w:rPr>
          <w:rStyle w:val="VerbatimChar"/>
        </w:rPr>
        <w:t xml:space="preserve">google/gemini-2.5-flash</w:t>
      </w:r>
      <w:r>
        <w:t xml:space="preserve"> </w:t>
      </w:r>
      <w:r>
        <w:t xml:space="preserve">for PDFs (native PDF input support without image conversion).</w:t>
      </w:r>
    </w:p>
    <w:p>
      <w:pPr>
        <w:pStyle w:val="Compact"/>
        <w:numPr>
          <w:ilvl w:val="0"/>
          <w:numId w:val="1010"/>
        </w:numPr>
      </w:pPr>
      <w:r>
        <w:rPr>
          <w:b/>
          <w:bCs/>
        </w:rPr>
        <w:t xml:space="preserve">Temperature 0:</w:t>
      </w:r>
      <w:r>
        <w:t xml:space="preserve"> </w:t>
      </w:r>
      <w:r>
        <w:t xml:space="preserve">Deterministic extraction with no creative variation.</w:t>
      </w:r>
    </w:p>
    <w:p>
      <w:pPr>
        <w:pStyle w:val="Compact"/>
        <w:numPr>
          <w:ilvl w:val="0"/>
          <w:numId w:val="1010"/>
        </w:numPr>
      </w:pPr>
      <w:r>
        <w:rPr>
          <w:b/>
          <w:bCs/>
        </w:rPr>
        <w:t xml:space="preserve">60-second timeout:</w:t>
      </w:r>
      <w:r>
        <w:t xml:space="preserve"> </w:t>
      </w:r>
      <w:r>
        <w:t xml:space="preserve">Extended via</w:t>
      </w:r>
      <w:r>
        <w:t xml:space="preserve"> </w:t>
      </w:r>
      <w:r>
        <w:rPr>
          <w:rStyle w:val="VerbatimChar"/>
        </w:rPr>
        <w:t xml:space="preserve">export const maxDuration = 60</w:t>
      </w:r>
      <w:r>
        <w:t xml:space="preserve"> </w:t>
      </w:r>
      <w:r>
        <w:t xml:space="preserve">to handle large scanned PDFs.</w:t>
      </w:r>
    </w:p>
    <w:p>
      <w:pPr>
        <w:pStyle w:val="FirstParagraph"/>
      </w:pPr>
      <w:r>
        <w:rPr>
          <w:b/>
          <w:bCs/>
        </w:rPr>
        <w:t xml:space="preserve">Important:</w:t>
      </w:r>
      <w:r>
        <w:t xml:space="preserve"> </w:t>
      </w:r>
      <w:r>
        <w:t xml:space="preserve">The extract route IS still calling OpenRouter — it uses the same</w:t>
      </w:r>
      <w:r>
        <w:t xml:space="preserve"> </w:t>
      </w:r>
      <w:r>
        <w:rPr>
          <w:rStyle w:val="VerbatimChar"/>
        </w:rPr>
        <w:t xml:space="preserve">https://openrouter.ai/api/v1/chat/completions</w:t>
      </w:r>
      <w:r>
        <w:t xml:space="preserve"> </w:t>
      </w:r>
      <w:r>
        <w:t xml:space="preserve">endpoint with the same API key. It simply bypasses the shared client wrapper because the multimodal payload structure requires direct control over the request body.</w:t>
      </w:r>
    </w:p>
    <w:p>
      <w:pPr>
        <w:pStyle w:val="BodyText"/>
      </w:pPr>
      <w:r>
        <w:t xml:space="preserve">Plain text file uploads (</w:t>
      </w:r>
      <w:r>
        <w:rPr>
          <w:rStyle w:val="VerbatimChar"/>
        </w:rPr>
        <w:t xml:space="preserve">.txt</w:t>
      </w:r>
      <w:r>
        <w:t xml:space="preserve">) bypass the LLM entirely and return the file content directly without any API call.</w:t>
      </w:r>
    </w:p>
    <w:p>
      <w:r>
        <w:pict>
          <v:rect style="width:0;height:1.5pt" o:hralign="center" o:hrstd="t" o:hr="t"/>
        </w:pict>
      </w:r>
    </w:p>
    <w:bookmarkEnd w:id="26"/>
    <w:bookmarkEnd w:id="27"/>
    <w:bookmarkStart w:id="32" w:name="retrieval-pipeline-hybrid-rag"/>
    <w:p>
      <w:pPr>
        <w:pStyle w:val="Heading2"/>
      </w:pPr>
      <w:r>
        <w:t xml:space="preserve">5. Retrieval Pipeline (Hybrid RAG)</w:t>
      </w:r>
    </w:p>
    <w:bookmarkStart w:id="28" w:name="lightrag-first-strategy"/>
    <w:p>
      <w:pPr>
        <w:pStyle w:val="Heading3"/>
      </w:pPr>
      <w:r>
        <w:t xml:space="preserve">5.1 LightRAG-First Strategy</w:t>
      </w:r>
    </w:p>
    <w:p>
      <w:pPr>
        <w:pStyle w:val="FirstParagraph"/>
      </w:pPr>
      <w:r>
        <w:t xml:space="preserve">The retrieval pipeline implements a dual-source hybrid strategy that prioritizes semantic knowledge graph retrieval over keyword matching:</w:t>
      </w:r>
    </w:p>
    <w:p>
      <w:pPr>
        <w:pStyle w:val="BodyText"/>
      </w:pPr>
      <w:r>
        <w:rPr>
          <w:b/>
          <w:bCs/>
        </w:rPr>
        <w:t xml:space="preserve">LightRAG receives 85% of the context budget</w:t>
      </w:r>
      <w:r>
        <w:t xml:space="preserve"> </w:t>
      </w:r>
      <w:r>
        <w:t xml:space="preserve">— It is always queried first for semantic and graph-based retrieval. LightRAG traverses entity relationships and uses vector embeddings to find contextually relevant passages, even when the user’s wording differs from the source documents.</w:t>
      </w:r>
    </w:p>
    <w:p>
      <w:pPr>
        <w:pStyle w:val="BodyText"/>
      </w:pPr>
      <w:r>
        <w:rPr>
          <w:b/>
          <w:bCs/>
        </w:rPr>
        <w:t xml:space="preserve">BM25 receives 15% of the context budget</w:t>
      </w:r>
      <w:r>
        <w:t xml:space="preserve"> </w:t>
      </w:r>
      <w:r>
        <w:t xml:space="preserve">— It is conditionally activated based on query language detection. BM25 runs only for English queries or queries containing exact section/ordinance number references. Filipino/Tagalog queries skip BM25 entirely because the legal knowledge base is indexed in English, resulting in zero term overlap and meaningless zero-score results.</w:t>
      </w:r>
    </w:p>
    <w:bookmarkEnd w:id="28"/>
    <w:bookmarkStart w:id="29" w:name="language-detection"/>
    <w:p>
      <w:pPr>
        <w:pStyle w:val="Heading3"/>
      </w:pPr>
      <w:r>
        <w:t xml:space="preserve">5.2 Language Detection</w:t>
      </w:r>
    </w:p>
    <w:p>
      <w:pPr>
        <w:pStyle w:val="FirstParagraph"/>
      </w:pPr>
      <w:r>
        <w:t xml:space="preserve">The pipeline includes a language detector that classifies queries as Filipino or English using a set of approximately 60 Filipino indicator words (ang, ng, mga, sa, na, at, etc.). A query is classified as Filipino if it contains 3 or more Filipino indicator words, or if more than 40% of its words match the indicator set. This threshold prevents false positives on mixed-language queries like</w:t>
      </w:r>
      <w:r>
        <w:t xml:space="preserve"> </w:t>
      </w:r>
      <w:r>
        <w:t xml:space="preserve">“Can the Sangguniang Bayan close a road?”</w:t>
      </w:r>
      <w:r>
        <w:t xml:space="preserve"> </w:t>
      </w:r>
      <w:r>
        <w:t xml:space="preserve">where only two words (sangguniang, bayan) are Filipino.</w:t>
      </w:r>
    </w:p>
    <w:bookmarkEnd w:id="29"/>
    <w:bookmarkStart w:id="30" w:name="retrieval-flow"/>
    <w:p>
      <w:pPr>
        <w:pStyle w:val="Heading3"/>
      </w:pPr>
      <w:r>
        <w:t xml:space="preserve">5.3 Retrieval Flow</w:t>
      </w:r>
    </w:p>
    <w:p>
      <w:pPr>
        <w:pStyle w:val="Compact"/>
        <w:numPr>
          <w:ilvl w:val="0"/>
          <w:numId w:val="1011"/>
        </w:numPr>
      </w:pPr>
      <w:r>
        <w:t xml:space="preserve">User submits a query (chat message or draft for review)</w:t>
      </w:r>
    </w:p>
    <w:p>
      <w:pPr>
        <w:pStyle w:val="Compact"/>
        <w:numPr>
          <w:ilvl w:val="0"/>
          <w:numId w:val="1011"/>
        </w:numPr>
      </w:pPr>
      <w:r>
        <w:t xml:space="preserve">Language detection classifies the query as Filipino or English</w:t>
      </w:r>
    </w:p>
    <w:p>
      <w:pPr>
        <w:pStyle w:val="Compact"/>
        <w:numPr>
          <w:ilvl w:val="0"/>
          <w:numId w:val="1011"/>
        </w:numPr>
      </w:pPr>
      <w:r>
        <w:t xml:space="preserve">LightRAG is queried with the question (always) — returns semantic context with entity relationships</w:t>
      </w:r>
    </w:p>
    <w:p>
      <w:pPr>
        <w:pStyle w:val="Compact"/>
        <w:numPr>
          <w:ilvl w:val="0"/>
          <w:numId w:val="1011"/>
        </w:numPr>
      </w:pPr>
      <w:r>
        <w:t xml:space="preserve">BM25 is queried conditionally — only for English queries or exact legal reference lookups</w:t>
      </w:r>
    </w:p>
    <w:p>
      <w:pPr>
        <w:pStyle w:val="Compact"/>
        <w:numPr>
          <w:ilvl w:val="0"/>
          <w:numId w:val="1011"/>
        </w:numPr>
      </w:pPr>
      <w:r>
        <w:t xml:space="preserve">Results from both sources are merged with deduplication</w:t>
      </w:r>
    </w:p>
    <w:p>
      <w:pPr>
        <w:pStyle w:val="Compact"/>
        <w:numPr>
          <w:ilvl w:val="0"/>
          <w:numId w:val="1011"/>
        </w:numPr>
      </w:pPr>
      <w:r>
        <w:t xml:space="preserve">Cross-validation assigns confidence ratings (HIGH when both sources return overlapping results)</w:t>
      </w:r>
    </w:p>
    <w:p>
      <w:pPr>
        <w:pStyle w:val="Compact"/>
        <w:numPr>
          <w:ilvl w:val="0"/>
          <w:numId w:val="1011"/>
        </w:numPr>
      </w:pPr>
      <w:r>
        <w:t xml:space="preserve">The merged context is injected into the LLM system prompt</w:t>
      </w:r>
    </w:p>
    <w:p>
      <w:pPr>
        <w:pStyle w:val="Compact"/>
        <w:numPr>
          <w:ilvl w:val="0"/>
          <w:numId w:val="1011"/>
        </w:numPr>
      </w:pPr>
      <w:r>
        <w:t xml:space="preserve">The LLM generates a response grounded in the provided context</w:t>
      </w:r>
    </w:p>
    <w:p>
      <w:pPr>
        <w:pStyle w:val="Compact"/>
        <w:numPr>
          <w:ilvl w:val="0"/>
          <w:numId w:val="1011"/>
        </w:numPr>
      </w:pPr>
      <w:r>
        <w:t xml:space="preserve">Citation validation extracts and verifies all legal references in the response</w:t>
      </w:r>
    </w:p>
    <w:p>
      <w:pPr>
        <w:pStyle w:val="Compact"/>
        <w:numPr>
          <w:ilvl w:val="0"/>
          <w:numId w:val="1011"/>
        </w:numPr>
      </w:pPr>
      <w:r>
        <w:t xml:space="preserve">Only verified citations are displayed to the user; uncited documents are excluded</w:t>
      </w:r>
    </w:p>
    <w:bookmarkEnd w:id="30"/>
    <w:bookmarkStart w:id="31" w:name="graceful-degradation"/>
    <w:p>
      <w:pPr>
        <w:pStyle w:val="Heading3"/>
      </w:pPr>
      <w:r>
        <w:t xml:space="preserve">5.4 Graceful Degradation</w:t>
      </w:r>
    </w:p>
    <w:p>
      <w:pPr>
        <w:pStyle w:val="FirstParagraph"/>
      </w:pPr>
      <w:r>
        <w:t xml:space="preserve">If LightRAG is unavailable (timeout, network error, or service down), the pipeline falls back to BM25-only retrieval with a</w:t>
      </w:r>
      <w:r>
        <w:t xml:space="preserve"> </w:t>
      </w:r>
      <w:r>
        <w:rPr>
          <w:rStyle w:val="VerbatimChar"/>
        </w:rPr>
        <w:t xml:space="preserve">[DEGRADED MODE]</w:t>
      </w:r>
      <w:r>
        <w:t xml:space="preserve"> </w:t>
      </w:r>
      <w:r>
        <w:t xml:space="preserve">header in the context. This ensures the application remains functional even when the knowledge graph service is experiencing issues.</w:t>
      </w:r>
    </w:p>
    <w:p>
      <w:r>
        <w:pict>
          <v:rect style="width:0;height:1.5pt" o:hralign="center" o:hrstd="t" o:hr="t"/>
        </w:pict>
      </w:r>
    </w:p>
    <w:bookmarkEnd w:id="31"/>
    <w:bookmarkEnd w:id="32"/>
    <w:bookmarkStart w:id="33" w:name="network-topology"/>
    <w:p>
      <w:pPr>
        <w:pStyle w:val="Heading2"/>
      </w:pPr>
      <w:r>
        <w:t xml:space="preserve">6. Network Topology</w:t>
      </w:r>
    </w:p>
    <w:p>
      <w:pPr>
        <w:pStyle w:val="FirstParagraph"/>
      </w:pPr>
      <w:r>
        <w:t xml:space="preserve">pillar-pilot connects to two Docker networks:</w:t>
      </w:r>
    </w:p>
    <w:p>
      <w:pPr>
        <w:pStyle w:val="BodyText"/>
      </w:pPr>
      <w:r>
        <w:rPr>
          <w:b/>
          <w:bCs/>
        </w:rPr>
        <w:t xml:space="preserve">pillar-pilot_pillar-network</w:t>
      </w:r>
      <w:r>
        <w:t xml:space="preserve"> </w:t>
      </w:r>
      <w:r>
        <w:t xml:space="preserve">(172.16.2.x) — An isolated network for the pillar-pilot deployment. Currently only contains the pillar-pilot container itself.</w:t>
      </w:r>
    </w:p>
    <w:p>
      <w:pPr>
        <w:pStyle w:val="BodyText"/>
      </w:pPr>
      <w:r>
        <w:rPr>
          <w:b/>
          <w:bCs/>
        </w:rPr>
        <w:t>esangguni_esangguni-network (172.16.10.x) — A shared Docker bridge network (legacy name; created first by an unrelated project). pillar-pilot joins it solely to reach lightrag-service:8020 by hostname. It is a network-layer bridge only; pillar-pilot does not import, proxy to, or otherwise depend on any eSANGGUNI application code.</w:t>
      </w:r>
      <w:r/>
      <w:r/>
      <w:r/>
      <w:r>
        <w:rPr>
          <w:rStyle w:val="VerbatimChar"/>
        </w:rPr>
      </w:r>
      <w:r/>
      <w:r/>
    </w:p>
    <w:p>
      <w:pPr>
        <w:pStyle w:val="BodyText"/>
      </w:pPr>
      <w:r>
        <w:t xml:space="preserve">All outbound LLM calls go directly to the internet via HTTPS to</w:t>
      </w:r>
      <w:r>
        <w:t xml:space="preserve"> </w:t>
      </w:r>
      <w:r>
        <w:rPr>
          <w:rStyle w:val="VerbatimChar"/>
        </w:rPr>
        <w:t xml:space="preserve">openrouter.ai:443</w:t>
      </w:r>
      <w:r>
        <w:t xml:space="preserve">. There is no local proxy, no caching layer, and no rate limiting middleware between the container and OpenRouter.</w:t>
      </w:r>
    </w:p>
    <w:p>
      <w:pPr>
        <w:pStyle w:val="BodyText"/>
      </w:pPr>
      <w:r>
        <w:t xml:space="preserve">Cross-subdomain authentication works via the</w:t>
      </w:r>
      <w:r>
        <w:t xml:space="preserve"> </w:t>
      </w:r>
      <w:r>
        <w:rPr>
          <w:rStyle w:val="VerbatimChar"/>
        </w:rPr>
        <w:t xml:space="preserve">COOKIE_DOMAIN=.pillar.bayanaihan.net</w:t>
      </w:r>
      <w:r>
        <w:t xml:space="preserve"> </w:t>
      </w:r>
      <w:r>
        <w:t xml:space="preserve">environment variable, which sets the session cookie at the parent domain level so it is shared across all subdomains (pillar, ella, obra, yala).</w:t>
      </w:r>
    </w:p>
    <w:p>
      <w:r>
        <w:pict>
          <v:rect style="width:0;height:1.5pt" o:hralign="center" o:hrstd="t" o:hr="t"/>
        </w:pict>
      </w:r>
    </w:p>
    <w:bookmarkEnd w:id="33"/>
    <w:bookmarkStart w:id="37" w:name="environment-configuration"/>
    <w:p>
      <w:pPr>
        <w:pStyle w:val="Heading2"/>
      </w:pPr>
      <w:r>
        <w:t xml:space="preserve">7. Environment Configuration</w:t>
      </w:r>
    </w:p>
    <w:bookmarkStart w:id="34" w:name="required-variables"/>
    <w:p>
      <w:pPr>
        <w:pStyle w:val="Heading3"/>
      </w:pPr>
      <w:r>
        <w:t xml:space="preserve">Required Variables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Variable</w:t>
            </w:r>
          </w:p>
        </w:tc>
        <w:tc>
          <w:tcPr/>
          <w:p>
            <w:pPr>
              <w:pStyle w:val="Compact"/>
            </w:pPr>
            <w:r>
              <w:t xml:space="preserve">Purpose</w:t>
            </w:r>
          </w:p>
        </w:tc>
      </w:tr>
      <w:tr>
        <w:tc>
          <w:tcPr/>
          <w:p>
            <w:pPr>
              <w:pStyle w:val="Compact"/>
            </w:pPr>
            <w:r>
              <w:rPr>
                <w:rStyle w:val="VerbatimChar"/>
              </w:rPr>
              <w:t xml:space="preserve">OPENROUTER_API_KEY</w:t>
            </w:r>
          </w:p>
        </w:tc>
        <w:tc>
          <w:tcPr/>
          <w:p>
            <w:pPr>
              <w:pStyle w:val="Compact"/>
            </w:pPr>
            <w:r>
              <w:t xml:space="preserve">OpenRouter API key for all LLM inference calls</w:t>
            </w:r>
          </w:p>
        </w:tc>
      </w:tr>
    </w:tbl>
    <w:bookmarkEnd w:id="34"/>
    <w:bookmarkStart w:id="35" w:name="optional-variables"/>
    <w:p>
      <w:pPr>
        <w:pStyle w:val="Heading3"/>
      </w:pPr>
      <w:r>
        <w:t xml:space="preserve">Optional Variables</w:t>
      </w:r>
    </w:p>
    <w:tbl>
      <w:tblPr>
        <w:tblStyle w:val="Table"/>
        <w:tblW w:type="pct" w:w="5000"/>
        <w:tblLayout w:type="fixed"/>
        <w:tblLook w:firstRow="1" w:lastRow="0" w:firstColumn="0" w:lastColumn="0" w:noHBand="0" w:noVBand="0" w:val="0020"/>
      </w:tblPr>
      <w:tblGrid>
        <w:gridCol w:w="2828"/>
        <w:gridCol w:w="2545"/>
        <w:gridCol w:w="2545"/>
      </w:tblGrid>
      <w:tr>
        <w:trPr>
          <w:tblHeader w:val="on"/>
        </w:trPr>
        <w:tc>
          <w:tcPr/>
          <w:p>
            <w:pPr>
              <w:pStyle w:val="Compact"/>
            </w:pPr>
            <w:r>
              <w:t xml:space="preserve">Variable</w:t>
            </w:r>
          </w:p>
        </w:tc>
        <w:tc>
          <w:tcPr/>
          <w:p>
            <w:pPr>
              <w:pStyle w:val="Compact"/>
            </w:pPr>
            <w:r>
              <w:t xml:space="preserve">Default</w:t>
            </w:r>
          </w:p>
        </w:tc>
        <w:tc>
          <w:tcPr/>
          <w:p>
            <w:pPr>
              <w:pStyle w:val="Compact"/>
            </w:pPr>
            <w:r>
              <w:t xml:space="preserve">Purpose</w:t>
            </w:r>
          </w:p>
        </w:tc>
      </w:tr>
      <w:tr>
        <w:tc>
          <w:tcPr/>
          <w:p>
            <w:pPr>
              <w:pStyle w:val="Compact"/>
            </w:pPr>
            <w:r>
              <w:rPr>
                <w:rStyle w:val="VerbatimChar"/>
              </w:rPr>
              <w:t xml:space="preserve">LLM_MODEL</w:t>
            </w:r>
          </w:p>
        </w:tc>
        <w:tc>
          <w:tcPr/>
          <w:p>
            <w:pPr>
              <w:pStyle w:val="Compact"/>
            </w:pPr>
            <w:r>
              <w:rPr>
                <w:rStyle w:val="VerbatimChar"/>
              </w:rPr>
              <w:t xml:space="preserve">qwen/qwen3.7-plus</w:t>
            </w:r>
          </w:p>
        </w:tc>
        <w:tc>
          <w:tcPr/>
          <w:p>
            <w:pPr>
              <w:pStyle w:val="Compact"/>
            </w:pPr>
            <w:r>
              <w:t xml:space="preserve">LLM model identifier for OpenRouter</w:t>
            </w:r>
          </w:p>
        </w:tc>
      </w:tr>
      <w:tr>
        <w:tc>
          <w:tcPr/>
          <w:p>
            <w:pPr>
              <w:pStyle w:val="Compact"/>
            </w:pPr>
            <w:r>
              <w:rPr>
                <w:rStyle w:val="VerbatimChar"/>
              </w:rPr>
              <w:t xml:space="preserve">LIGHTRAG_SERVICE_URL</w:t>
            </w:r>
          </w:p>
        </w:tc>
        <w:tc>
          <w:tcPr/>
          <w:p>
            <w:pPr>
              <w:pStyle w:val="Compact"/>
            </w:pPr>
            <w:r>
              <w:rPr>
                <w:rStyle w:val="VerbatimChar"/>
              </w:rPr>
              <w:t xml:space="preserve">http://lightrag-service:8020</w:t>
            </w:r>
          </w:p>
        </w:tc>
        <w:tc>
          <w:tcPr/>
          <w:p>
            <w:pPr>
              <w:pStyle w:val="Compact"/>
            </w:pPr>
            <w:r>
              <w:t xml:space="preserve">Knowledge graph service URL</w:t>
            </w:r>
          </w:p>
        </w:tc>
      </w:tr>
      <w:tr>
        <w:tc>
          <w:tcPr/>
          <w:p>
            <w:pPr>
              <w:pStyle w:val="Compact"/>
            </w:pPr>
            <w:r>
              <w:rPr>
                <w:rStyle w:val="VerbatimChar"/>
              </w:rPr>
              <w:t xml:space="preserve">DB_PATH</w:t>
            </w:r>
          </w:p>
        </w:tc>
        <w:tc>
          <w:tcPr/>
          <w:p>
            <w:pPr>
              <w:pStyle w:val="Compact"/>
            </w:pPr>
            <w:r>
              <w:rPr>
                <w:rStyle w:val="VerbatimChar"/>
              </w:rPr>
              <w:t xml:space="preserve">data/workshop.db</w:t>
            </w:r>
          </w:p>
        </w:tc>
        <w:tc>
          <w:tcPr/>
          <w:p>
            <w:pPr>
              <w:pStyle w:val="Compact"/>
            </w:pPr>
            <w:r>
              <w:t xml:space="preserve">SQLite database file path (overridden to</w:t>
            </w:r>
            <w:r>
              <w:t xml:space="preserve"> </w:t>
            </w:r>
            <w:r>
              <w:rPr>
                <w:rStyle w:val="VerbatimChar"/>
              </w:rPr>
              <w:t xml:space="preserve">/data/pillar-pilot.db</w:t>
            </w:r>
            <w:r>
              <w:t xml:space="preserve"> </w:t>
            </w:r>
            <w:r>
              <w:t xml:space="preserve">in VPS)</w:t>
            </w:r>
          </w:p>
        </w:tc>
      </w:tr>
      <w:tr>
        <w:tc>
          <w:tcPr/>
          <w:p>
            <w:pPr>
              <w:pStyle w:val="Compact"/>
            </w:pPr>
            <w:r>
              <w:rPr>
                <w:rStyle w:val="VerbatimChar"/>
              </w:rPr>
              <w:t xml:space="preserve">COOKIE_DOMAIN</w:t>
            </w:r>
          </w:p>
        </w:tc>
        <w:tc>
          <w:tcPr/>
          <w:p>
            <w:pPr>
              <w:pStyle w:val="Compact"/>
            </w:pPr>
            <w:r>
              <w:t xml:space="preserve">(none)</w:t>
            </w:r>
          </w:p>
        </w:tc>
        <w:tc>
          <w:tcPr/>
          <w:p>
            <w:pPr>
              <w:pStyle w:val="Compact"/>
            </w:pPr>
            <w:r>
              <w:t xml:space="preserve">Cookie domain for cross-subdomain auth (</w:t>
            </w:r>
            <w:r>
              <w:rPr>
                <w:rStyle w:val="VerbatimChar"/>
              </w:rPr>
              <w:t xml:space="preserve">.pillar.bayanaihan.net</w:t>
            </w:r>
            <w:r>
              <w:t xml:space="preserve"> </w:t>
            </w:r>
            <w:r>
              <w:t xml:space="preserve">in VPS)</w:t>
            </w:r>
          </w:p>
        </w:tc>
      </w:tr>
      <w:tr>
        <w:tc>
          <w:tcPr/>
          <w:p>
            <w:pPr>
              <w:pStyle w:val="Compact"/>
            </w:pPr>
            <w:r>
              <w:rPr>
                <w:rStyle w:val="VerbatimChar"/>
              </w:rPr>
              <w:t xml:space="preserve">WORKSHOP_SESSION_ID</w:t>
            </w:r>
          </w:p>
        </w:tc>
        <w:tc>
          <w:tcPr/>
          <w:p>
            <w:pPr>
              <w:pStyle w:val="Compact"/>
            </w:pPr>
            <w:r>
              <w:t xml:space="preserve">current date</w:t>
            </w:r>
          </w:p>
        </w:tc>
        <w:tc>
          <w:tcPr/>
          <w:p>
            <w:pPr>
              <w:pStyle w:val="Compact"/>
            </w:pPr>
            <w:r>
              <w:t xml:space="preserve">Workshop session grouping identifier</w:t>
            </w:r>
          </w:p>
        </w:tc>
      </w:tr>
      <w:tr>
        <w:tc>
          <w:tcPr/>
          <w:p>
            <w:pPr>
              <w:pStyle w:val="Compact"/>
            </w:pPr>
            <w:r>
              <w:rPr>
                <w:rStyle w:val="VerbatimChar"/>
              </w:rPr>
              <w:t xml:space="preserve">DEFAULT_ADMIN_PASSWORD</w:t>
            </w:r>
          </w:p>
        </w:tc>
        <w:tc>
          <w:tcPr/>
          <w:p>
            <w:pPr>
              <w:pStyle w:val="Compact"/>
            </w:pPr>
            <w:r>
              <w:t xml:space="preserve">(none)</w:t>
            </w:r>
          </w:p>
        </w:tc>
        <w:tc>
          <w:tcPr/>
          <w:p>
            <w:pPr>
              <w:pStyle w:val="Compact"/>
            </w:pPr>
            <w:r>
              <w:t xml:space="preserve">Initial admin password (used only on first database seed)</w:t>
            </w:r>
          </w:p>
        </w:tc>
      </w:tr>
      <w:tr>
        <w:tc>
          <w:tcPr/>
          <w:p>
            <w:pPr>
              <w:pStyle w:val="Compact"/>
            </w:pPr>
            <w:r>
              <w:rPr>
                <w:rStyle w:val="VerbatimChar"/>
              </w:rPr>
              <w:t xml:space="preserve">SMTP_HOST/PORT/USER/PASS/FROM</w:t>
            </w:r>
          </w:p>
        </w:tc>
        <w:tc>
          <w:tcPr/>
          <w:p>
            <w:pPr>
              <w:pStyle w:val="Compact"/>
            </w:pPr>
            <w:r>
              <w:t xml:space="preserve">(none)</w:t>
            </w:r>
          </w:p>
        </w:tc>
        <w:tc>
          <w:tcPr/>
          <w:p>
            <w:pPr>
              <w:pStyle w:val="Compact"/>
            </w:pPr>
            <w:r>
              <w:t xml:space="preserve">Email notification configuration (not yet configured)</w:t>
            </w:r>
          </w:p>
        </w:tc>
      </w:tr>
      <w:tr>
        <w:tc>
          <w:tcPr/>
          <w:p>
            <w:pPr>
              <w:pStyle w:val="Compact"/>
            </w:pPr>
            <w:r>
              <w:rPr>
                <w:rStyle w:val="VerbatimChar"/>
              </w:rPr>
              <w:t xml:space="preserve">NEXT_PUBLIC_ELLA_URL</w:t>
            </w:r>
          </w:p>
        </w:tc>
        <w:tc>
          <w:tcPr/>
          <w:p>
            <w:pPr>
              <w:pStyle w:val="Compact"/>
            </w:pPr>
            <w:r>
              <w:rPr>
                <w:rStyle w:val="VerbatimChar"/>
              </w:rPr>
              <w:t xml:space="preserve">/ella</w:t>
            </w:r>
          </w:p>
        </w:tc>
        <w:tc>
          <w:tcPr/>
          <w:p>
            <w:pPr>
              <w:pStyle w:val="Compact"/>
            </w:pPr>
            <w:r>
              <w:t xml:space="preserve">Public URL for ELLA module</w:t>
            </w:r>
          </w:p>
        </w:tc>
      </w:tr>
      <w:tr>
        <w:tc>
          <w:tcPr/>
          <w:p>
            <w:pPr>
              <w:pStyle w:val="Compact"/>
            </w:pPr>
            <w:r>
              <w:rPr>
                <w:rStyle w:val="VerbatimChar"/>
              </w:rPr>
              <w:t xml:space="preserve">NEXT_PUBLIC_OBRA_URL</w:t>
            </w:r>
          </w:p>
        </w:tc>
        <w:tc>
          <w:tcPr/>
          <w:p>
            <w:pPr>
              <w:pStyle w:val="Compact"/>
            </w:pPr>
            <w:r>
              <w:rPr>
                <w:rStyle w:val="VerbatimChar"/>
              </w:rPr>
              <w:t xml:space="preserve">/obra</w:t>
            </w:r>
          </w:p>
        </w:tc>
        <w:tc>
          <w:tcPr/>
          <w:p>
            <w:pPr>
              <w:pStyle w:val="Compact"/>
            </w:pPr>
            <w:r>
              <w:t xml:space="preserve">Public URL for OBRA module</w:t>
            </w:r>
          </w:p>
        </w:tc>
      </w:tr>
      <w:tr>
        <w:tc>
          <w:tcPr/>
          <w:p>
            <w:pPr>
              <w:pStyle w:val="Compact"/>
            </w:pPr>
            <w:r>
              <w:rPr>
                <w:rStyle w:val="VerbatimChar"/>
              </w:rPr>
              <w:t xml:space="preserve">NEXT_PUBLIC_YALA_URL</w:t>
            </w:r>
          </w:p>
        </w:tc>
        <w:tc>
          <w:tcPr/>
          <w:p>
            <w:pPr>
              <w:pStyle w:val="Compact"/>
            </w:pPr>
            <w:r>
              <w:rPr>
                <w:rStyle w:val="VerbatimChar"/>
              </w:rPr>
              <w:t xml:space="preserve">/yala</w:t>
            </w:r>
          </w:p>
        </w:tc>
        <w:tc>
          <w:tcPr/>
          <w:p>
            <w:pPr>
              <w:pStyle w:val="Compact"/>
            </w:pPr>
            <w:r>
              <w:t xml:space="preserve">Public URL for YALA module</w:t>
            </w:r>
          </w:p>
        </w:tc>
      </w:tr>
      <w:tr>
        <w:tc>
          <w:tcPr/>
          <w:p>
            <w:pPr>
              <w:pStyle w:val="Compact"/>
            </w:pPr>
            <w:r>
              <w:rPr>
                <w:rStyle w:val="VerbatimChar"/>
              </w:rPr>
              <w:t xml:space="preserve">NEXT_PUBLIC_PILLAR_URL</w:t>
            </w:r>
          </w:p>
        </w:tc>
        <w:tc>
          <w:tcPr/>
          <w:p>
            <w:pPr>
              <w:pStyle w:val="Compact"/>
            </w:pPr>
            <w:r>
              <w:rPr>
                <w:rStyle w:val="VerbatimChar"/>
              </w:rPr>
              <w:t xml:space="preserve">/</w:t>
            </w:r>
          </w:p>
        </w:tc>
        <w:tc>
          <w:tcPr/>
          <w:p>
            <w:pPr>
              <w:pStyle w:val="Compact"/>
            </w:pPr>
            <w:r>
              <w:t xml:space="preserve">Public URL for PILLAR root</w:t>
            </w:r>
          </w:p>
        </w:tc>
      </w:tr>
    </w:tbl>
    <w:bookmarkEnd w:id="35"/>
    <w:bookmarkStart w:id="36" w:name="vps-specific-configuration"/>
    <w:p>
      <w:pPr>
        <w:pStyle w:val="Heading3"/>
      </w:pPr>
      <w:r>
        <w:t xml:space="preserve">VPS-Specific Configuration</w:t>
      </w:r>
    </w:p>
    <w:p>
      <w:pPr>
        <w:pStyle w:val="FirstParagraph"/>
      </w:pPr>
      <w:r>
        <w:t xml:space="preserve">The VPS deployment uses</w:t>
      </w:r>
      <w:r>
        <w:t xml:space="preserve"> </w:t>
      </w:r>
      <w:r>
        <w:rPr>
          <w:rStyle w:val="VerbatimChar"/>
        </w:rPr>
        <w:t xml:space="preserve">docker-compose.vps.yml</w:t>
      </w:r>
      <w:r>
        <w:t xml:space="preserve"> </w:t>
      </w:r>
      <w:r>
        <w:t xml:space="preserve">(not the standard</w:t>
      </w:r>
      <w:r>
        <w:t xml:space="preserve"> </w:t>
      </w:r>
      <w:r>
        <w:rPr>
          <w:rStyle w:val="VerbatimChar"/>
        </w:rPr>
        <w:t xml:space="preserve">docker-compose.yml</w:t>
      </w:r>
      <w:r>
        <w:t xml:space="preserve">) with these key differences from the ECS configuration:</w:t>
      </w:r>
    </w:p>
    <w:p>
      <w:pPr>
        <w:pStyle w:val="Compact"/>
        <w:numPr>
          <w:ilvl w:val="0"/>
          <w:numId w:val="1012"/>
        </w:numPr>
      </w:pPr>
      <w:r>
        <w:t xml:space="preserve">Joins the existing</w:t>
      </w:r>
      <w:r>
        <w:t xml:space="preserve"> </w:t>
      </w:r>
      <w:r>
        <w:rPr>
          <w:rStyle w:val="VerbatimChar"/>
        </w:rPr>
        <w:t xml:space="preserve">esangguni_esangguni-network</w:t>
      </w:r>
      <w:r>
        <w:t xml:space="preserve"> </w:t>
      </w:r>
      <w:r>
        <w:t xml:space="preserve">to reach LightRAG</w:t>
      </w:r>
    </w:p>
    <w:p>
      <w:pPr>
        <w:pStyle w:val="Compact"/>
        <w:numPr>
          <w:ilvl w:val="0"/>
          <w:numId w:val="1012"/>
        </w:numPr>
      </w:pPr>
      <w:r>
        <w:t xml:space="preserve">Exposes port 3082 (nginx proxies from</w:t>
      </w:r>
      <w:r>
        <w:t xml:space="preserve"> </w:t>
      </w:r>
      <w:r>
        <w:rPr>
          <w:rStyle w:val="VerbatimChar"/>
        </w:rPr>
        <w:t xml:space="preserve">pillar.bayanaihan.net</w:t>
      </w:r>
      <w:r>
        <w:t xml:space="preserve">)</w:t>
      </w:r>
    </w:p>
    <w:p>
      <w:pPr>
        <w:pStyle w:val="Compact"/>
        <w:numPr>
          <w:ilvl w:val="0"/>
          <w:numId w:val="1012"/>
        </w:numPr>
      </w:pPr>
      <w:r>
        <w:t xml:space="preserve">No nginx/certbot services (handled by host-level nginx and Let’s Encrypt)</w:t>
      </w:r>
    </w:p>
    <w:p>
      <w:pPr>
        <w:pStyle w:val="Compact"/>
        <w:numPr>
          <w:ilvl w:val="0"/>
          <w:numId w:val="1012"/>
        </w:numPr>
      </w:pPr>
      <w:r>
        <w:t xml:space="preserve">Resource limits (1 CPU, 2 GB RAM, 100 PIDs) for shared VPS environment</w:t>
      </w:r>
    </w:p>
    <w:p>
      <w:pPr>
        <w:pStyle w:val="Compact"/>
        <w:numPr>
          <w:ilvl w:val="0"/>
          <w:numId w:val="1012"/>
        </w:numPr>
      </w:pPr>
      <w:r>
        <w:t xml:space="preserve">Security hardening with</w:t>
      </w:r>
      <w:r>
        <w:t xml:space="preserve"> </w:t>
      </w:r>
      <w:r>
        <w:rPr>
          <w:rStyle w:val="VerbatimChar"/>
        </w:rPr>
        <w:t xml:space="preserve">no-new-privileges:true</w:t>
      </w:r>
    </w:p>
    <w:p>
      <w:r>
        <w:pict>
          <v:rect style="width:0;height:1.5pt" o:hralign="center" o:hrstd="t" o:hr="t"/>
        </w:pict>
      </w:r>
    </w:p>
    <w:bookmarkEnd w:id="36"/>
    <w:bookmarkEnd w:id="37"/>
    <w:bookmarkStart w:id="38" w:name="deployment-architecture-diagram"/>
    <w:p>
      <w:pPr>
        <w:pStyle w:val="Heading2"/>
      </w:pPr>
      <w:r>
        <w:t xml:space="preserve">8. Deployment Architecture Diagram</w:t>
      </w:r>
    </w:p>
    <w:p>
      <w:pPr>
        <w:pStyle w:val="SourceCode"/>
      </w:pPr>
      <w:r>
        <w:rPr>
          <w:rStyle w:val="VerbatimChar"/>
        </w:rPr>
        <w:t xml:space="preserve">                    ┌─────────────────────────────────────────────────┐</w:t>
      </w:r>
      <w:r>
        <w:br/>
      </w:r>
      <w:r>
        <w:rPr>
          <w:rStyle w:val="VerbatimChar"/>
        </w:rPr>
        <w:t xml:space="preserve">                    │           Hostinger VPS (72.60.104.187)         │</w:t>
      </w:r>
      <w:r>
        <w:br/>
      </w:r>
      <w:r>
        <w:rPr>
          <w:rStyle w:val="VerbatimChar"/>
        </w:rPr>
        <w:t xml:space="preserve">                    │                                                 │</w:t>
      </w:r>
      <w:r>
        <w:br/>
      </w:r>
      <w:r>
        <w:rPr>
          <w:rStyle w:val="VerbatimChar"/>
        </w:rPr>
        <w:t xml:space="preserve">                    │  ┌───────────────────────────────────────────┐  │</w:t>
      </w:r>
      <w:r>
        <w:br/>
      </w:r>
      <w:r>
        <w:rPr>
          <w:rStyle w:val="VerbatimChar"/>
        </w:rPr>
        <w:t xml:space="preserve">                    │  │   pillar-pilot (:3082)                    │  │</w:t>
      </w:r>
      <w:r>
        <w:br/>
      </w:r>
      <w:r>
        <w:rPr>
          <w:rStyle w:val="VerbatimChar"/>
        </w:rPr>
        <w:t xml:space="preserve">                    │  │   Next.js 15.3.8 + SQLite                 │  │</w:t>
      </w:r>
      <w:r>
        <w:br/>
      </w:r>
      <w:r>
        <w:rPr>
          <w:rStyle w:val="VerbatimChar"/>
        </w:rPr>
        <w:t xml:space="preserve">                    │  │                                           │  │</w:t>
      </w:r>
      <w:r>
        <w:br/>
      </w:r>
      <w:r>
        <w:rPr>
          <w:rStyle w:val="VerbatimChar"/>
        </w:rPr>
        <w:t xml:space="preserve">                    │  │   ┌─────────┐ ┌──────┐ ┌──────────────┐  │  │</w:t>
      </w:r>
      <w:r>
        <w:br/>
      </w:r>
      <w:r>
        <w:rPr>
          <w:rStyle w:val="VerbatimChar"/>
        </w:rPr>
        <w:t xml:space="preserve">                    │  │   │  ELLA   │ │ OBRA │ │     YALA     │  │  │</w:t>
      </w:r>
      <w:r>
        <w:br/>
      </w:r>
      <w:r>
        <w:rPr>
          <w:rStyle w:val="VerbatimChar"/>
        </w:rPr>
        <w:t xml:space="preserve">                    │  │   │  Chat   │ │ Draft│ │  Chatbot     │  │  │</w:t>
      </w:r>
      <w:r>
        <w:br/>
      </w:r>
      <w:r>
        <w:rPr>
          <w:rStyle w:val="VerbatimChar"/>
        </w:rPr>
        <w:t xml:space="preserve">                    │  │   │  API    │ │ API  │ │   API        │  │  │</w:t>
      </w:r>
      <w:r>
        <w:br/>
      </w:r>
      <w:r>
        <w:rPr>
          <w:rStyle w:val="VerbatimChar"/>
        </w:rPr>
        <w:t xml:space="preserve">                    │  │   └────┬────┘ └──┬───┘ └──────┬───────┘  │  │</w:t>
      </w:r>
      <w:r>
        <w:br/>
      </w:r>
      <w:r>
        <w:rPr>
          <w:rStyle w:val="VerbatimChar"/>
        </w:rPr>
        <w:t xml:space="preserve">                    │  │        │         │             │          │  │</w:t>
      </w:r>
      <w:r>
        <w:br/>
      </w:r>
      <w:r>
        <w:rPr>
          <w:rStyle w:val="VerbatimChar"/>
        </w:rPr>
        <w:t xml:space="preserve">                    │  │   ┌────┴─────────┴─────────────┴──────┐   │  │</w:t>
      </w:r>
      <w:r>
        <w:br/>
      </w:r>
      <w:r>
        <w:rPr>
          <w:rStyle w:val="VerbatimChar"/>
        </w:rPr>
        <w:t xml:space="preserve">                    │  │   │     Retrieval Pipeline            │   │  │</w:t>
      </w:r>
      <w:r>
        <w:br/>
      </w:r>
      <w:r>
        <w:rPr>
          <w:rStyle w:val="VerbatimChar"/>
        </w:rPr>
        <w:t xml:space="preserve">                    │  │   │   LightRAG (85%) + BM25 (15%)    │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   │     SQLite DB + BM25 Index        │   │  │</w:t>
      </w:r>
      <w:r>
        <w:br/>
      </w:r>
      <w:r>
        <w:rPr>
          <w:rStyle w:val="VerbatimChar"/>
        </w:rPr>
        <w:t xml:space="preserve">                    │  │   │     /data/pillar-pilot.db         │   │  │</w:t>
      </w:r>
      <w:r>
        <w:br/>
      </w:r>
      <w:r>
        <w:rPr>
          <w:rStyle w:val="VerbatimChar"/>
        </w:rPr>
        <w:t xml:space="preserve">                    │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Docker Networks  │                   │</w:t>
      </w:r>
      <w:r>
        <w:br/>
      </w:r>
      <w:r>
        <w:rPr>
          <w:rStyle w:val="VerbatimChar"/>
        </w:rPr>
        <w:t xml:space="preserve">                    │         │  esangguni-network│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lightrag-service (:8020)              │    │</w:t>
      </w:r>
      <w:r>
        <w:br/>
      </w:r>
      <w:r>
        <w:rPr>
          <w:rStyle w:val="VerbatimChar"/>
        </w:rPr>
        <w:t xml:space="preserve">                    │  │   Knowledge Graph Engine                │    │</w:t>
      </w:r>
      <w:r>
        <w:br/>
      </w:r>
      <w:r>
        <w:rPr>
          <w:rStyle w:val="VerbatimChar"/>
        </w:rPr>
        <w:t xml:space="preserve">                    │  │   ┌──────────────────────────────────┐ │    │</w:t>
      </w:r>
      <w:r>
        <w:br/>
      </w:r>
      <w:r>
        <w:rPr>
          <w:rStyle w:val="VerbatimChar"/>
        </w:rPr>
        <w:t xml:space="preserve">                    │  │   │  postgres-lightrag (:54323)      │ │    │</w:t>
      </w:r>
      <w:r>
        <w:br/>
      </w:r>
      <w:r>
        <w:rPr>
          <w:rStyle w:val="VerbatimChar"/>
        </w:rPr>
        <w:t xml:space="preserve">                    │  │   │  PG 18 + Apache AGE + pgvector   │ │    │</w:t>
      </w:r>
      <w:r>
        <w:br/>
      </w:r>
      <w:r>
        <w:rPr>
          <w:rStyle w:val="VerbatimChar"/>
        </w:rPr>
        <w:t xml:space="preserve">                    │  │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HTTPS Outbound</w:t>
      </w:r>
      <w:r>
        <w:br/>
      </w:r>
      <w:r>
        <w:rPr>
          <w:rStyle w:val="VerbatimChar"/>
        </w:rPr>
        <w:t xml:space="preserve">                                     │</w:t>
      </w:r>
      <w:r>
        <w:br/>
      </w:r>
      <w:r>
        <w:rPr>
          <w:rStyle w:val="VerbatimChar"/>
        </w:rPr>
        <w:t xml:space="preserve">                    ┌────────────────┴────────────────────────────────┐</w:t>
      </w:r>
      <w:r>
        <w:br/>
      </w:r>
      <w:r>
        <w:rPr>
          <w:rStyle w:val="VerbatimChar"/>
        </w:rPr>
        <w:t xml:space="preserve">                    │            OpenRouter API Gateway               │</w:t>
      </w:r>
      <w:r>
        <w:br/>
      </w:r>
      <w:r>
        <w:rPr>
          <w:rStyle w:val="VerbatimChar"/>
        </w:rPr>
        <w:t xml:space="preserve">                    │         https://openrouter.ai/api/v1            │</w:t>
      </w:r>
      <w:r>
        <w:br/>
      </w:r>
      <w:r>
        <w:rPr>
          <w:rStyle w:val="VerbatimChar"/>
        </w:rPr>
        <w:t xml:space="preserve">                    │                                                 │</w:t>
      </w:r>
      <w:r>
        <w:br/>
      </w:r>
      <w:r>
        <w:rPr>
          <w:rStyle w:val="VerbatimChar"/>
        </w:rPr>
        <w:t xml:space="preserve">                    │   ┌─────────────────┐  ┌─────────────────────┐  │</w:t>
      </w:r>
      <w:r>
        <w:br/>
      </w:r>
      <w:r>
        <w:rPr>
          <w:rStyle w:val="VerbatimChar"/>
        </w:rPr>
        <w:t xml:space="preserve">                    │   │ qwen3.7-plus    │  │ gemini-2.5-flash    │  │</w:t>
      </w:r>
      <w:r>
        <w:br/>
      </w:r>
      <w:r>
        <w:rPr>
          <w:rStyle w:val="VerbatimChar"/>
        </w:rPr>
        <w:t xml:space="preserve">                    │   │ Chat, Draft,    │  │ PDF OCR Extraction  │  │</w:t>
      </w:r>
      <w:r>
        <w:br/>
      </w:r>
      <w:r>
        <w:rPr>
          <w:rStyle w:val="VerbatimChar"/>
        </w:rPr>
        <w:t xml:space="preserve">                    │   │ Review, Fix,    │  │                     │  │</w:t>
      </w:r>
      <w:r>
        <w:br/>
      </w:r>
      <w:r>
        <w:rPr>
          <w:rStyle w:val="VerbatimChar"/>
        </w:rPr>
        <w:t xml:space="preserve">                    │   │ Image OCR       │  │                     │  │</w:t>
      </w:r>
      <w:r>
        <w:br/>
      </w:r>
      <w:r>
        <w:rPr>
          <w:rStyle w:val="VerbatimChar"/>
        </w:rPr>
        <w:t xml:space="preserve">                    │   └─────────────────┘  └─────────────────────┘  │</w:t>
      </w:r>
      <w:r>
        <w:br/>
      </w:r>
      <w:r>
        <w:rPr>
          <w:rStyle w:val="VerbatimChar"/>
        </w:rPr>
        <w:t xml:space="preserve">                    └─────────────────────────────────────────────────┘</w:t>
      </w:r>
    </w:p>
    <w:p>
      <w:r>
        <w:pict>
          <v:rect style="width:0;height:1.5pt" o:hralign="center" o:hrstd="t" o:hr="t"/>
        </w:pict>
      </w:r>
    </w:p>
    <w:bookmarkEnd w:id="38"/>
    <w:bookmarkStart w:id="39" w:name="summary-statistics"/>
    <w:p>
      <w:pPr>
        <w:pStyle w:val="Heading2"/>
      </w:pPr>
      <w:r>
        <w:t xml:space="preserve">9. Summary Statistics</w:t>
      </w:r>
    </w:p>
    <w:tbl>
      <w:tblPr>
        <w:tblStyle w:val="Table"/>
        <w:tblW w:type="pct" w:w="5000"/>
        <w:tblLayout w:type="fixed"/>
        <w:tblLook w:firstRow="1" w:lastRow="0" w:firstColumn="0" w:lastColumn="0" w:noHBand="0" w:noVBand="0" w:val="0020"/>
      </w:tblPr>
      <w:tblGrid>
        <w:gridCol w:w="4224"/>
        <w:gridCol w:w="3696"/>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Active containers serving pillar-pilot</w:t>
            </w:r>
          </w:p>
        </w:tc>
        <w:tc>
          <w:tcPr/>
          <w:p>
            <w:pPr>
              <w:pStyle w:val="Compact"/>
            </w:pPr>
            <w:r>
              <w:t xml:space="preserve">4 (pillar-pilot, lightrag-service, postgres-lightrag, lightrag-admin)</w:t>
            </w:r>
          </w:p>
        </w:tc>
      </w:tr>
      <w:tr>
        <w:tc>
          <w:tcPr/>
          <w:p>
            <w:pPr>
              <w:pStyle w:val="Compact"/>
            </w:pPr>
            <w:r>
              <w:t xml:space="preserve">Provisioned but unused containers</w:t>
            </w:r>
          </w:p>
        </w:tc>
        <w:tc>
          <w:tcPr/>
          <w:p>
            <w:pPr>
              <w:pStyle w:val="Compact"/>
            </w:pPr>
            <w:r>
              <w:t xml:space="preserve">1 (postgres-pillar-pitogo)</w:t>
            </w:r>
          </w:p>
        </w:tc>
      </w:tr>
      <w:tr>
        <w:tc>
          <w:tcPr/>
          <w:p>
            <w:pPr>
              <w:pStyle w:val="Compact"/>
            </w:pPr>
            <w:r>
              <w:t xml:space="preserve">LLM model for chat/drafting</w:t>
            </w:r>
          </w:p>
        </w:tc>
        <w:tc>
          <w:tcPr/>
          <w:p>
            <w:pPr>
              <w:pStyle w:val="Compact"/>
            </w:pPr>
            <w:r>
              <w:t xml:space="preserve">qwen/qwen3.7-plus</w:t>
            </w:r>
          </w:p>
        </w:tc>
      </w:tr>
      <w:tr>
        <w:tc>
          <w:tcPr/>
          <w:p>
            <w:pPr>
              <w:pStyle w:val="Compact"/>
            </w:pPr>
            <w:r>
              <w:t xml:space="preserve">LLM model for PDF OCR</w:t>
            </w:r>
          </w:p>
        </w:tc>
        <w:tc>
          <w:tcPr/>
          <w:p>
            <w:pPr>
              <w:pStyle w:val="Compact"/>
            </w:pPr>
            <w:r>
              <w:t xml:space="preserve">google/gemini-2.5-flash</w:t>
            </w:r>
          </w:p>
        </w:tc>
      </w:tr>
      <w:tr>
        <w:tc>
          <w:tcPr/>
          <w:p>
            <w:pPr>
              <w:pStyle w:val="Compact"/>
            </w:pPr>
            <w:r>
              <w:t xml:space="preserve">LLM model for image OCR</w:t>
            </w:r>
          </w:p>
        </w:tc>
        <w:tc>
          <w:tcPr/>
          <w:p>
            <w:pPr>
              <w:pStyle w:val="Compact"/>
            </w:pPr>
            <w:r>
              <w:t xml:space="preserve">qwen/qwen3.7-plus</w:t>
            </w:r>
          </w:p>
        </w:tc>
      </w:tr>
      <w:tr>
        <w:tc>
          <w:tcPr/>
          <w:p>
            <w:pPr>
              <w:pStyle w:val="Compact"/>
            </w:pPr>
            <w:r>
              <w:t xml:space="preserve">BM25 indexed documents</w:t>
            </w:r>
          </w:p>
        </w:tc>
        <w:tc>
          <w:tcPr/>
          <w:p>
            <w:pPr>
              <w:pStyle w:val="Compact"/>
            </w:pPr>
            <w:r>
              <w:t xml:space="preserve">2,634</w:t>
            </w:r>
          </w:p>
        </w:tc>
      </w:tr>
      <w:tr>
        <w:tc>
          <w:tcPr/>
          <w:p>
            <w:pPr>
              <w:pStyle w:val="Compact"/>
            </w:pPr>
            <w:r>
              <w:t xml:space="preserve">SQLite tables</w:t>
            </w:r>
          </w:p>
        </w:tc>
        <w:tc>
          <w:tcPr/>
          <w:p>
            <w:pPr>
              <w:pStyle w:val="Compact"/>
            </w:pPr>
            <w:r>
              <w:t xml:space="preserve">10</w:t>
            </w:r>
          </w:p>
        </w:tc>
      </w:tr>
      <w:tr>
        <w:tc>
          <w:tcPr/>
          <w:p>
            <w:pPr>
              <w:pStyle w:val="Compact"/>
            </w:pPr>
            <w:r>
              <w:t xml:space="preserve">API routes</w:t>
            </w:r>
          </w:p>
        </w:tc>
        <w:tc>
          <w:tcPr/>
          <w:p>
            <w:pPr>
              <w:pStyle w:val="Compact"/>
            </w:pPr>
            <w:r>
              <w:t xml:space="preserve">9 (chat, draft, review, fix, extract, health, login, logout, register)</w:t>
            </w:r>
          </w:p>
        </w:tc>
      </w:tr>
      <w:tr>
        <w:tc>
          <w:tcPr/>
          <w:p>
            <w:pPr>
              <w:pStyle w:val="Compact"/>
            </w:pPr>
            <w:r>
              <w:t xml:space="preserve">Docker networks</w:t>
            </w:r>
          </w:p>
        </w:tc>
        <w:tc>
          <w:tcPr/>
          <w:p>
            <w:pPr>
              <w:pStyle w:val="Compact"/>
            </w:pPr>
            <w:r>
              <w:t xml:space="preserve">2 (isolated + shared)</w:t>
            </w:r>
          </w:p>
        </w:tc>
      </w:tr>
      <w:tr>
        <w:tc>
          <w:tcPr/>
          <w:p>
            <w:pPr>
              <w:pStyle w:val="Compact"/>
            </w:pPr>
            <w:r>
              <w:t xml:space="preserve">Max container memory</w:t>
            </w:r>
          </w:p>
        </w:tc>
        <w:tc>
          <w:tcPr/>
          <w:p>
            <w:pPr>
              <w:pStyle w:val="Compact"/>
            </w:pPr>
            <w:r>
              <w:t xml:space="preserve">2 GB</w:t>
            </w:r>
          </w:p>
        </w:tc>
      </w:tr>
      <w:tr>
        <w:tc>
          <w:tcPr/>
          <w:p>
            <w:pPr>
              <w:pStyle w:val="Compact"/>
            </w:pPr>
            <w:r>
              <w:t xml:space="preserve">Max container CPU</w:t>
            </w:r>
          </w:p>
        </w:tc>
        <w:tc>
          <w:tcPr/>
          <w:p>
            <w:pPr>
              <w:pStyle w:val="Compact"/>
            </w:pPr>
            <w:r>
              <w:t xml:space="preserve">1.0 core</w:t>
            </w:r>
          </w:p>
        </w:tc>
      </w:tr>
      <w:tr>
        <w:tc>
          <w:tcPr/>
          <w:p>
            <w:pPr>
              <w:pStyle w:val="Compact"/>
            </w:pPr>
            <w:r>
              <w:t xml:space="preserve">Session TTL</w:t>
            </w:r>
          </w:p>
        </w:tc>
        <w:tc>
          <w:tcPr/>
          <w:p>
            <w:pPr>
              <w:pStyle w:val="Compact"/>
            </w:pPr>
            <w:r>
              <w:t xml:space="preserve">1 hour (sliding window)</w:t>
            </w:r>
          </w:p>
        </w:tc>
      </w:tr>
      <w:tr>
        <w:tc>
          <w:tcPr/>
          <w:p>
            <w:pPr>
              <w:pStyle w:val="Compact"/>
            </w:pPr>
            <w:r>
              <w:t xml:space="preserve">LightRAG query timeout</w:t>
            </w:r>
          </w:p>
        </w:tc>
        <w:tc>
          <w:tcPr/>
          <w:p>
            <w:pPr>
              <w:pStyle w:val="Compact"/>
            </w:pPr>
            <w:r>
              <w:t xml:space="preserve">30 seconds</w:t>
            </w:r>
          </w:p>
        </w:tc>
      </w:tr>
      <w:tr>
        <w:tc>
          <w:tcPr/>
          <w:p>
            <w:pPr>
              <w:pStyle w:val="Compact"/>
            </w:pPr>
            <w:r>
              <w:t xml:space="preserve">OBRA extract timeout</w:t>
            </w:r>
          </w:p>
        </w:tc>
        <w:tc>
          <w:tcPr/>
          <w:p>
            <w:pPr>
              <w:pStyle w:val="Compact"/>
            </w:pPr>
            <w:r>
              <w:t xml:space="preserve">60 seconds</w:t>
            </w:r>
          </w:p>
        </w:tc>
      </w:tr>
    </w:tbl>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2026-07-10T15:13:18Z</dcterms:created>
  <dcterms:modified xsi:type="dcterms:W3CDTF">2026-07-10T15:13:18Z</dcterms:modified>
</cp:coreProperties>
</file>

<file path=docProps/custom.xml><?xml version="1.0" encoding="utf-8"?>
<Properties xmlns="http://schemas.openxmlformats.org/officeDocument/2006/custom-properties" xmlns:vt="http://schemas.openxmlformats.org/officeDocument/2006/docPropsVTypes"/>
</file>