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line="276" w:lineRule="auto"/>
        <w:jc w:val="center"/>
      </w:pPr>
      <w:r>
        <w:rPr>
          <w:rFonts w:ascii="Times New Roman" w:hAnsi="Times New Roman"/>
          <w:b/>
          <w:i w:val="0"/>
          <w:color w:val="0F172A"/>
          <w:sz w:val="36"/>
        </w:rPr>
        <w:t>CADENCE: A Confidence-Adaptive Dual-Expert Network for Fast and Accurate Time Series Classification</w:t>
      </w:r>
    </w:p>
    <w:p>
      <w:pPr>
        <w:spacing w:before="0" w:after="40" w:line="276" w:lineRule="auto"/>
        <w:jc w:val="center"/>
      </w:pPr>
      <w:r>
        <w:rPr>
          <w:rFonts w:ascii="Times New Roman" w:hAnsi="Times New Roman"/>
          <w:b/>
          <w:i w:val="0"/>
          <w:color w:val="1E293B"/>
          <w:sz w:val="24"/>
        </w:rPr>
        <w:t>Onisa Mapunda</w:t>
      </w:r>
    </w:p>
    <w:p>
      <w:pPr>
        <w:spacing w:before="0" w:after="280" w:line="276" w:lineRule="auto"/>
        <w:jc w:val="center"/>
      </w:pPr>
      <w:r>
        <w:rPr>
          <w:rFonts w:ascii="Times New Roman" w:hAnsi="Times New Roman"/>
          <w:b w:val="0"/>
          <w:i/>
          <w:color w:val="2563EB"/>
          <w:sz w:val="20"/>
        </w:rPr>
        <w:t>onisajr@gmail.com</w:t>
      </w:r>
    </w:p>
    <w:p>
      <w:pPr>
        <w:spacing w:before="80" w:after="160" w:line="276" w:lineRule="auto"/>
        <w:ind w:left="360" w:right="360"/>
        <w:jc w:val="both"/>
      </w:pPr>
      <w:r>
        <w:rPr>
          <w:rFonts w:ascii="Times New Roman" w:hAnsi="Times New Roman"/>
          <w:b/>
          <w:sz w:val="20"/>
        </w:rPr>
        <w:t>Abstract—</w:t>
      </w:r>
      <w:r>
        <w:rPr>
          <w:rFonts w:ascii="Times New Roman" w:hAnsi="Times New Roman"/>
          <w:sz w:val="20"/>
        </w:rPr>
        <w:t>Time series classification (TSC) has long been characterized by a sharp trade-off between classification accuracy and computational scalability. Heterogeneous meta-ensembles like HIVE-COTE 2.0 [5] achieve state-of-the-art accuracy by combining representations across temporal, frequency, shapelet, and dictionary domains, but require days or weeks of compute. Conversely, ultra-fast random convolutional transforms such as MiniRocket [2] and Hydra [3] provide orders-of-magnitude speedups, but struggle with phase-independent statistical distributions, kinematic transitions, and catastrophic decision tree fragmentation on datasets with large class counts when combined with tree heads. Naive feature concatenation or static model averaging fails to resolve this tension, often inducing negative transfer and parameter dilution.</w:t>
        <w:br/>
        <w:br/>
        <w:t>In this work, we present CADENCE (Confidence-Adaptive Dual-Expert Network for time series Classification Excellence), a unified, CPU-native dual-expert architecture. CADENCE decouples representation learning into two specialized pathways: (i) a Convolutional Linear Expert pairing 10,000 deterministic dilated features with closed-form L2-regularized Woodbury ridge classification, and (ii) a Distributional Interval Expert pairing competing dilated kernels (Hydra) with thread-safe dyadic Cornish-Fisher moment approximations across signal kinematics (X, ΔX, Δ²X) and FFT spectral energy bands, fitted with an entropy-based ExtraTrees ensemble. To mediate between these paradigms, CADENCE incorporates an internal validation meta-router with rare-class preservation that dynamically selects between pure expert routing and confidence-weighted soft blending, followed by a full refit on 100% of training data. Evaluated across all 109 datasets of the standard equal-length UCR Time Series Archive [6] over 30 resamples (3,270 total evaluations), CADENCE achieves a grand mean accuracy of 0.8864. This ranks #2 among evaluated classifiers across the archive, surpassed only by HIVE-COTE 2.0 (0.8895, p_Holm = 0.295, no statistically significant difference), and ahead of Hydra+MultiRocket (0.8818, +0.46 percentage points, p_Holm = 1.000), MultiRocket [4] (0.8797, +0.67 percentage points), and HIVE-COTE 1.0 [6b] (0.8786, +0.78 percentage points, p_Holm = 0.048, statistically significant), closing the gap to HIVE-COTE 2.0 to just 0.31 percentage points while completing an evaluation run in an average of only 17.53 seconds on a standard dual-core CPU.</w:t>
      </w:r>
    </w:p>
    <w:p>
      <w:pPr>
        <w:spacing w:before="40" w:after="280"/>
        <w:ind w:left="360" w:right="360"/>
        <w:jc w:val="both"/>
      </w:pPr>
      <w:r>
        <w:rPr>
          <w:rFonts w:ascii="Times New Roman" w:hAnsi="Times New Roman"/>
          <w:b/>
          <w:sz w:val="19"/>
        </w:rPr>
        <w:t>Keywords—</w:t>
      </w:r>
      <w:r>
        <w:rPr>
          <w:rFonts w:ascii="Times New Roman" w:hAnsi="Times New Roman"/>
          <w:i/>
          <w:sz w:val="19"/>
        </w:rPr>
        <w:t>Time series classification, dual-expert routing, MiniRocket, Hydra, Cornish-Fisher expansion, confidence blending, UCR archive, Wilcoxon signed-rank test.</w:t>
      </w:r>
    </w:p>
    <w:p>
      <w:pPr>
        <w:keepNext/>
        <w:spacing w:before="280" w:after="80"/>
        <w:jc w:val="left"/>
      </w:pPr>
      <w:r>
        <w:rPr>
          <w:rFonts w:ascii="Times New Roman" w:hAnsi="Times New Roman"/>
          <w:b/>
          <w:color w:val="0F172A"/>
          <w:sz w:val="26"/>
        </w:rPr>
        <w:t>1. Introduction</w:t>
      </w:r>
    </w:p>
    <w:p>
      <w:pPr>
        <w:spacing w:before="0" w:after="120" w:line="276" w:lineRule="auto"/>
        <w:jc w:val="left"/>
      </w:pPr>
      <w:r>
        <w:rPr>
          <w:rFonts w:ascii="Times New Roman" w:hAnsi="Times New Roman"/>
          <w:b w:val="0"/>
          <w:i w:val="0"/>
          <w:color w:val="1E293B"/>
          <w:sz w:val="21"/>
        </w:rPr>
        <w:t>Time series classification (TSC) is a core problem in applied machine learning, underlying critical applications in electrocardiology [6], industrial anomaly detection, seismology, wearable motion analytics, and acoustic speech processing [7]. The 109 univariate, equal-length datasets of the UCR Time Series Archive [6] exhibit tremendous structural diversity: series lengths range from dozens to thousands of time points, sample sizes vary from tens to thousands of instances, and class cardinalities span binary discrimination (K=2) to fine-grained categorization (K=60).</w:t>
      </w:r>
    </w:p>
    <w:p>
      <w:pPr>
        <w:spacing w:before="0" w:after="120" w:line="276" w:lineRule="auto"/>
        <w:jc w:val="left"/>
      </w:pPr>
      <w:r>
        <w:rPr>
          <w:rFonts w:ascii="Times New Roman" w:hAnsi="Times New Roman"/>
          <w:b w:val="0"/>
          <w:i w:val="0"/>
          <w:color w:val="1E293B"/>
          <w:sz w:val="21"/>
        </w:rPr>
        <w:t>Historically, achieving top accuracy demanded heavy heterogeneous meta-ensembles, most notably HIVE-COTE 2.0 (HC2) [5], which combines STC, TDE, DrCIF, and Arsenal. While HC2 achieves an unmatched published benchmark accuracy of 0.8895, its computational cost is substantial, requiring an average of approximately 3 hours per dataset (over 340 CPU hours across the 112 archive datasets).</w:t>
      </w:r>
    </w:p>
    <w:p>
      <w:pPr>
        <w:spacing w:before="0" w:after="120" w:line="276" w:lineRule="auto"/>
        <w:jc w:val="left"/>
      </w:pPr>
      <w:r>
        <w:rPr>
          <w:rFonts w:ascii="Times New Roman" w:hAnsi="Times New Roman"/>
          <w:b w:val="0"/>
          <w:i w:val="0"/>
          <w:color w:val="1E293B"/>
          <w:sz w:val="21"/>
        </w:rPr>
        <w:t>In response, the field shifted toward randomized convolutional transforms, initiated by ROCKET [1], refined by MiniRocket [2], MultiRocket [4], and Hydra [3]. By projecting time series into high-dimensional linear spaces via dilated convolutions pooled with Proportion of Positive Values (PPV), these methods run in seconds. However, single-model convolutional transforms suffer from key failure modes: (1) inability to capture phase-free statistical distributions, velocity, and acceleration kinematics; (2) severe decision tree fragmentation on datasets with large class counts (K ≥ 12) when tree heads are naively applied; and (3) negative transfer when concatenating heterogeneous feature spaces into a single linear regularizer.</w:t>
      </w:r>
    </w:p>
    <w:p>
      <w:pPr>
        <w:keepNext/>
        <w:spacing w:before="200" w:after="60"/>
        <w:jc w:val="left"/>
      </w:pPr>
      <w:r>
        <w:rPr>
          <w:rFonts w:ascii="Times New Roman" w:hAnsi="Times New Roman"/>
          <w:b/>
          <w:color w:val="1E293B"/>
          <w:sz w:val="23"/>
        </w:rPr>
        <w:t>1.1 Contributions</w:t>
      </w:r>
    </w:p>
    <w:p>
      <w:pPr>
        <w:pStyle w:val="ListBullet"/>
        <w:spacing w:before="20" w:after="60" w:line="276" w:lineRule="auto"/>
      </w:pPr>
      <w:r>
        <w:rPr>
          <w:rFonts w:ascii="Times New Roman" w:hAnsi="Times New Roman"/>
          <w:b/>
          <w:color w:val="1E293B"/>
          <w:sz w:val="20"/>
        </w:rPr>
        <w:t xml:space="preserve">Decoupled Dual-Expert Architecture: </w:t>
      </w:r>
      <w:r>
        <w:rPr>
          <w:rFonts w:ascii="Times New Roman" w:hAnsi="Times New Roman"/>
          <w:color w:val="1E293B"/>
          <w:sz w:val="20"/>
        </w:rPr>
        <w:t>Harmonizes a closed-form convolutional linear expert (10,000 features) with an interval-distributional expert (Hydra, Cornish-Fisher moments on kinematics, FFT spectral quantiles, ExtraTrees, 1,851 features).</w:t>
      </w:r>
    </w:p>
    <w:p>
      <w:pPr>
        <w:pStyle w:val="ListBullet"/>
        <w:spacing w:before="20" w:after="60" w:line="276" w:lineRule="auto"/>
      </w:pPr>
      <w:r>
        <w:rPr>
          <w:rFonts w:ascii="Times New Roman" w:hAnsi="Times New Roman"/>
          <w:b/>
          <w:color w:val="1E293B"/>
          <w:sz w:val="20"/>
        </w:rPr>
        <w:t xml:space="preserve">Confidence-Adaptive Meta-Router with Full Refit: </w:t>
      </w:r>
      <w:r>
        <w:rPr>
          <w:rFonts w:ascii="Times New Roman" w:hAnsi="Times New Roman"/>
          <w:color w:val="1E293B"/>
          <w:sz w:val="20"/>
        </w:rPr>
        <w:t>Introduces an internal validation router with rare-class preservation navigating three distinct regimes: Pure Branch A, Pure Branch B, and Smooth Confidence Blending, refitting models on 100% of training data.</w:t>
      </w:r>
    </w:p>
    <w:p>
      <w:pPr>
        <w:pStyle w:val="ListBullet"/>
        <w:spacing w:before="20" w:after="60" w:line="276" w:lineRule="auto"/>
      </w:pPr>
      <w:r>
        <w:rPr>
          <w:rFonts w:ascii="Times New Roman" w:hAnsi="Times New Roman"/>
          <w:b/>
          <w:color w:val="1E293B"/>
          <w:sz w:val="20"/>
        </w:rPr>
        <w:t xml:space="preserve">Conditional Inference-Time Branch Pruning: </w:t>
      </w:r>
      <w:r>
        <w:rPr>
          <w:rFonts w:ascii="Times New Roman" w:hAnsi="Times New Roman"/>
          <w:color w:val="1E293B"/>
          <w:sz w:val="20"/>
        </w:rPr>
        <w:t>Completely skips the unselected branch during dominance regimes (24.8% of datasets), reducing test-time feature extraction overhead.</w:t>
      </w:r>
    </w:p>
    <w:p>
      <w:pPr>
        <w:pStyle w:val="ListBullet"/>
        <w:spacing w:before="20" w:after="60" w:line="276" w:lineRule="auto"/>
      </w:pPr>
      <w:r>
        <w:rPr>
          <w:rFonts w:ascii="Times New Roman" w:hAnsi="Times New Roman"/>
          <w:b/>
          <w:color w:val="1E293B"/>
          <w:sz w:val="20"/>
        </w:rPr>
        <w:t xml:space="preserve">Exhaustive Benchmark Evaluation (3,270 Runs): </w:t>
      </w:r>
      <w:r>
        <w:rPr>
          <w:rFonts w:ascii="Times New Roman" w:hAnsi="Times New Roman"/>
          <w:color w:val="1E293B"/>
          <w:sz w:val="20"/>
        </w:rPr>
        <w:t>Evaluated on all 109 UCR datasets across 30 resamples, attaining 0.8864 grand mean accuracy (#2 among evaluated classifiers across the archive).</w:t>
      </w:r>
    </w:p>
    <w:p>
      <w:pPr>
        <w:pStyle w:val="ListBullet"/>
        <w:spacing w:before="20" w:after="60" w:line="276" w:lineRule="auto"/>
      </w:pPr>
      <w:r>
        <w:rPr>
          <w:rFonts w:ascii="Times New Roman" w:hAnsi="Times New Roman"/>
          <w:b/>
          <w:color w:val="1E293B"/>
          <w:sz w:val="20"/>
        </w:rPr>
        <w:t xml:space="preserve">Rigorous Statistical Testing: </w:t>
      </w:r>
      <w:r>
        <w:rPr>
          <w:rFonts w:ascii="Times New Roman" w:hAnsi="Times New Roman"/>
          <w:color w:val="1E293B"/>
          <w:sz w:val="20"/>
        </w:rPr>
        <w:t>Reports two-sided Wilcoxon signed-rank test p-values with Holm-Bonferroni correction, mean ranks, and per-dataset win/tie/loss counts against 25 published benchmark models.</w:t>
      </w:r>
    </w:p>
    <w:p>
      <w:pPr>
        <w:spacing w:before="160" w:after="40"/>
        <w:jc w:val="center"/>
      </w:pPr>
    </w:p>
    <w:p>
      <w:pPr>
        <w:jc w:val="center"/>
      </w:pPr>
      <w:r>
        <w:drawing>
          <wp:inline xmlns:a="http://schemas.openxmlformats.org/drawingml/2006/main" xmlns:pic="http://schemas.openxmlformats.org/drawingml/2006/picture">
            <wp:extent cx="5669280" cy="4077057"/>
            <wp:docPr id="1" name="Picture 1"/>
            <wp:cNvGraphicFramePr>
              <a:graphicFrameLocks noChangeAspect="1"/>
            </wp:cNvGraphicFramePr>
            <a:graphic>
              <a:graphicData uri="http://schemas.openxmlformats.org/drawingml/2006/picture">
                <pic:pic>
                  <pic:nvPicPr>
                    <pic:cNvPr id="0" name="Figure 1: Architectural overview of the CADENCE dual-expert classifier, validation routing, full refit, and test inference..png"/>
                    <pic:cNvPicPr/>
                  </pic:nvPicPr>
                  <pic:blipFill>
                    <a:blip r:embed="rId11"/>
                    <a:stretch>
                      <a:fillRect/>
                    </a:stretch>
                  </pic:blipFill>
                  <pic:spPr>
                    <a:xfrm>
                      <a:off x="0" y="0"/>
                      <a:ext cx="5669280" cy="4077057"/>
                    </a:xfrm>
                    <a:prstGeom prst="rect"/>
                  </pic:spPr>
                </pic:pic>
              </a:graphicData>
            </a:graphic>
          </wp:inline>
        </w:drawing>
      </w:r>
    </w:p>
    <w:p>
      <w:pPr>
        <w:spacing w:before="60" w:after="180"/>
        <w:jc w:val="center"/>
      </w:pPr>
      <w:r>
        <w:rPr>
          <w:rFonts w:ascii="Times New Roman" w:hAnsi="Times New Roman"/>
          <w:i/>
          <w:color w:val="64748B"/>
          <w:sz w:val="18"/>
        </w:rPr>
        <w:t>Figure 1: Architectural overview of the CADENCE dual-expert classifier, validation routing, full refit, and test inference.</w:t>
      </w:r>
    </w:p>
    <w:p>
      <w:pPr>
        <w:keepNext/>
        <w:spacing w:before="280" w:after="80"/>
        <w:jc w:val="left"/>
      </w:pPr>
      <w:r>
        <w:rPr>
          <w:rFonts w:ascii="Times New Roman" w:hAnsi="Times New Roman"/>
          <w:b/>
          <w:color w:val="0F172A"/>
          <w:sz w:val="26"/>
        </w:rPr>
        <w:t>2. Related Work</w:t>
      </w:r>
    </w:p>
    <w:p>
      <w:pPr>
        <w:spacing w:before="0" w:after="120" w:line="276" w:lineRule="auto"/>
        <w:jc w:val="left"/>
      </w:pPr>
      <w:r>
        <w:rPr>
          <w:rFonts w:ascii="Times New Roman" w:hAnsi="Times New Roman"/>
          <w:b w:val="0"/>
          <w:i w:val="0"/>
          <w:color w:val="1E293B"/>
          <w:sz w:val="21"/>
        </w:rPr>
        <w:t>2.1 Classical TSC: Distance-based methods (1NN-DTW) [7] offer robust elastic alignment but suffer from quadratic complexity O(N L²). Dictionary methods (BOSS, WEASEL) discretize windows into symbolic Fourier words. Interval ensembles (TSF, CIF, DrCIF) extract summary statistics across intervals.</w:t>
      </w:r>
    </w:p>
    <w:p>
      <w:pPr>
        <w:spacing w:before="0" w:after="120" w:line="276" w:lineRule="auto"/>
        <w:jc w:val="left"/>
      </w:pPr>
      <w:r>
        <w:rPr>
          <w:rFonts w:ascii="Times New Roman" w:hAnsi="Times New Roman"/>
          <w:b w:val="0"/>
          <w:i w:val="0"/>
          <w:color w:val="1E293B"/>
          <w:sz w:val="21"/>
        </w:rPr>
        <w:t>2.2 Random Convolutions: ROCKET [1] demonstrated that random kernels pooled with PPV produce linearly separable features. MiniRocket [2] introduced deterministic integer kernels and precomputed dilations, while Hydra [3] introduced competing kernel groups. MultiRocket [4] added first-order differences and four pooling operators.</w:t>
      </w:r>
    </w:p>
    <w:p>
      <w:pPr>
        <w:spacing w:before="0" w:after="120" w:line="276" w:lineRule="auto"/>
        <w:jc w:val="left"/>
      </w:pPr>
      <w:r>
        <w:rPr>
          <w:rFonts w:ascii="Times New Roman" w:hAnsi="Times New Roman"/>
          <w:b w:val="0"/>
          <w:i w:val="0"/>
          <w:color w:val="1E293B"/>
          <w:sz w:val="21"/>
        </w:rPr>
        <w:t>2.3 Ensembles &amp; Meta-Ensembles: HIVE-COTE 2.0 [5] combines 4 distinct classifiers via CAWPE meta-weighting. TS-CHIEF [8] integrates dictionary, interval, and distance criteria into trees. InceptionTime [8b] adapts deep residual networks for time series. While highly accurate, these meta-ensembles require substantial cluster compute. In contrast, CADENCE introduces an internal validation meta-router to conditionally select or blend experts on a lightweight CPU budget.</w:t>
      </w:r>
    </w:p>
    <w:p>
      <w:pPr>
        <w:keepNext/>
        <w:spacing w:before="280" w:after="80"/>
        <w:jc w:val="left"/>
      </w:pPr>
      <w:r>
        <w:rPr>
          <w:rFonts w:ascii="Times New Roman" w:hAnsi="Times New Roman"/>
          <w:b/>
          <w:color w:val="0F172A"/>
          <w:sz w:val="26"/>
        </w:rPr>
        <w:t>3. The CADENCE Methodology</w:t>
      </w:r>
    </w:p>
    <w:p>
      <w:pPr>
        <w:spacing w:before="0" w:after="120" w:line="276" w:lineRule="auto"/>
        <w:jc w:val="left"/>
      </w:pPr>
      <w:r>
        <w:rPr>
          <w:rFonts w:ascii="Times New Roman" w:hAnsi="Times New Roman"/>
          <w:b w:val="0"/>
          <w:i w:val="0"/>
          <w:color w:val="1E293B"/>
          <w:sz w:val="21"/>
        </w:rPr>
        <w:t>3.1 Branch A: Convolutional Linear Expert: MiniRocket [2] extracts D_A = 10,000 features using length-9 integer kernels ω ∈ {-1, 2}^9 (84 unique configurations with 3 weights equal to 2 and 6 weights equal to -1) and Proportion of Positive Values (PPV) pooling:</w:t>
      </w:r>
    </w:p>
    <w:p>
      <w:pPr>
        <w:spacing w:before="80" w:after="40"/>
        <w:jc w:val="center"/>
      </w:pPr>
    </w:p>
    <w:p>
      <w:pPr>
        <w:jc w:val="center"/>
      </w:pPr>
      <w:r>
        <w:drawing>
          <wp:inline xmlns:a="http://schemas.openxmlformats.org/drawingml/2006/main" xmlns:pic="http://schemas.openxmlformats.org/drawingml/2006/picture">
            <wp:extent cx="5303520" cy="648208"/>
            <wp:docPr id="2" name="Picture 2"/>
            <wp:cNvGraphicFramePr>
              <a:graphicFrameLocks noChangeAspect="1"/>
            </wp:cNvGraphicFramePr>
            <a:graphic>
              <a:graphicData uri="http://schemas.openxmlformats.org/drawingml/2006/picture">
                <pic:pic>
                  <pic:nvPicPr>
                    <pic:cNvPr id="0" name="eq1.png"/>
                    <pic:cNvPicPr/>
                  </pic:nvPicPr>
                  <pic:blipFill>
                    <a:blip r:embed="rId12"/>
                    <a:stretch>
                      <a:fillRect/>
                    </a:stretch>
                  </pic:blipFill>
                  <pic:spPr>
                    <a:xfrm>
                      <a:off x="0" y="0"/>
                      <a:ext cx="5303520" cy="648208"/>
                    </a:xfrm>
                    <a:prstGeom prst="rect"/>
                  </pic:spPr>
                </pic:pic>
              </a:graphicData>
            </a:graphic>
          </wp:inline>
        </w:drawing>
      </w:r>
    </w:p>
    <w:p>
      <w:pPr>
        <w:spacing w:before="40" w:after="120" w:line="276" w:lineRule="auto"/>
        <w:ind w:left="288"/>
        <w:jc w:val="left"/>
      </w:pPr>
      <w:r>
        <w:rPr>
          <w:rFonts w:ascii="Times New Roman" w:hAnsi="Times New Roman"/>
          <w:b/>
          <w:color w:val="475569"/>
          <w:sz w:val="18"/>
        </w:rPr>
        <w:t xml:space="preserve">where: </w:t>
      </w:r>
      <w:r>
        <w:rPr>
          <w:rFonts w:ascii="Times New Roman" w:hAnsi="Times New Roman"/>
          <w:color w:val="475569"/>
          <w:sz w:val="18"/>
        </w:rPr>
        <w:t>At is convolution activation at step t; X is the series; *d denotes convolution with dilation d; ω ∈ {-1, 2}^9 is the length-9 kernel; φ_PPV is PPV pooling; b is quantile bias; and 1(·) is the indicator function.</w:t>
      </w:r>
    </w:p>
    <w:p>
      <w:pPr>
        <w:spacing w:before="0" w:after="120" w:line="276" w:lineRule="auto"/>
        <w:jc w:val="left"/>
      </w:pPr>
      <w:r>
        <w:rPr>
          <w:rFonts w:ascii="Times New Roman" w:hAnsi="Times New Roman"/>
          <w:b w:val="0"/>
          <w:i w:val="0"/>
          <w:color w:val="1E293B"/>
          <w:sz w:val="21"/>
        </w:rPr>
        <w:t>Standardized features ~F_A are classified via multiclass Ridge regression with closed-form L2 regularization across 15 log-spaced candidate alphas in [10^-3, 10^4]. When N &lt; D_A, the dual Woodbury matrix identity is evaluated:</w:t>
      </w:r>
    </w:p>
    <w:p>
      <w:pPr>
        <w:spacing w:before="80" w:after="40"/>
        <w:jc w:val="center"/>
      </w:pPr>
    </w:p>
    <w:p>
      <w:pPr>
        <w:jc w:val="center"/>
      </w:pPr>
      <w:r>
        <w:drawing>
          <wp:inline xmlns:a="http://schemas.openxmlformats.org/drawingml/2006/main" xmlns:pic="http://schemas.openxmlformats.org/drawingml/2006/picture">
            <wp:extent cx="5303520" cy="648208"/>
            <wp:docPr id="3" name="Picture 3"/>
            <wp:cNvGraphicFramePr>
              <a:graphicFrameLocks noChangeAspect="1"/>
            </wp:cNvGraphicFramePr>
            <a:graphic>
              <a:graphicData uri="http://schemas.openxmlformats.org/drawingml/2006/picture">
                <pic:pic>
                  <pic:nvPicPr>
                    <pic:cNvPr id="0" name="eq2.png"/>
                    <pic:cNvPicPr/>
                  </pic:nvPicPr>
                  <pic:blipFill>
                    <a:blip r:embed="rId13"/>
                    <a:stretch>
                      <a:fillRect/>
                    </a:stretch>
                  </pic:blipFill>
                  <pic:spPr>
                    <a:xfrm>
                      <a:off x="0" y="0"/>
                      <a:ext cx="5303520" cy="648208"/>
                    </a:xfrm>
                    <a:prstGeom prst="rect"/>
                  </pic:spPr>
                </pic:pic>
              </a:graphicData>
            </a:graphic>
          </wp:inline>
        </w:drawing>
      </w:r>
    </w:p>
    <w:p>
      <w:pPr>
        <w:spacing w:before="40" w:after="120" w:line="276" w:lineRule="auto"/>
        <w:ind w:left="288"/>
        <w:jc w:val="left"/>
      </w:pPr>
      <w:r>
        <w:rPr>
          <w:rFonts w:ascii="Times New Roman" w:hAnsi="Times New Roman"/>
          <w:b/>
          <w:color w:val="475569"/>
          <w:sz w:val="18"/>
        </w:rPr>
        <w:t xml:space="preserve">where: </w:t>
      </w:r>
      <w:r>
        <w:rPr>
          <w:rFonts w:ascii="Times New Roman" w:hAnsi="Times New Roman"/>
          <w:color w:val="475569"/>
          <w:sz w:val="18"/>
        </w:rPr>
        <w:t>W* is the closed-form weight matrix; ~F_A is standardized features; Y is one-vs-rest labels; α is the L2 penalty; and I is the identity matrix evaluated in primal (N ≥ D_A) or dual Woodbury space (N &lt; D_A).</w:t>
      </w:r>
    </w:p>
    <w:p>
      <w:pPr>
        <w:spacing w:before="0" w:after="120" w:line="276" w:lineRule="auto"/>
        <w:jc w:val="left"/>
      </w:pPr>
      <w:r>
        <w:rPr>
          <w:rFonts w:ascii="Times New Roman" w:hAnsi="Times New Roman"/>
          <w:b w:val="0"/>
          <w:i w:val="0"/>
          <w:color w:val="1E293B"/>
          <w:sz w:val="21"/>
        </w:rPr>
        <w:t>Posterior class probabilities are derived via softmax over raw decision values:</w:t>
      </w:r>
    </w:p>
    <w:p>
      <w:pPr>
        <w:spacing w:before="80" w:after="40"/>
        <w:jc w:val="center"/>
      </w:pPr>
    </w:p>
    <w:p>
      <w:pPr>
        <w:jc w:val="center"/>
      </w:pPr>
      <w:r>
        <w:drawing>
          <wp:inline xmlns:a="http://schemas.openxmlformats.org/drawingml/2006/main" xmlns:pic="http://schemas.openxmlformats.org/drawingml/2006/picture">
            <wp:extent cx="5303520" cy="648208"/>
            <wp:docPr id="4" name="Picture 4"/>
            <wp:cNvGraphicFramePr>
              <a:graphicFrameLocks noChangeAspect="1"/>
            </wp:cNvGraphicFramePr>
            <a:graphic>
              <a:graphicData uri="http://schemas.openxmlformats.org/drawingml/2006/picture">
                <pic:pic>
                  <pic:nvPicPr>
                    <pic:cNvPr id="0" name="eq3.png"/>
                    <pic:cNvPicPr/>
                  </pic:nvPicPr>
                  <pic:blipFill>
                    <a:blip r:embed="rId14"/>
                    <a:stretch>
                      <a:fillRect/>
                    </a:stretch>
                  </pic:blipFill>
                  <pic:spPr>
                    <a:xfrm>
                      <a:off x="0" y="0"/>
                      <a:ext cx="5303520" cy="648208"/>
                    </a:xfrm>
                    <a:prstGeom prst="rect"/>
                  </pic:spPr>
                </pic:pic>
              </a:graphicData>
            </a:graphic>
          </wp:inline>
        </w:drawing>
      </w:r>
    </w:p>
    <w:p>
      <w:pPr>
        <w:spacing w:before="40" w:after="120" w:line="276" w:lineRule="auto"/>
        <w:ind w:left="288"/>
        <w:jc w:val="left"/>
      </w:pPr>
      <w:r>
        <w:rPr>
          <w:rFonts w:ascii="Times New Roman" w:hAnsi="Times New Roman"/>
          <w:b/>
          <w:color w:val="475569"/>
          <w:sz w:val="18"/>
        </w:rPr>
        <w:t xml:space="preserve">where: </w:t>
      </w:r>
      <w:r>
        <w:rPr>
          <w:rFonts w:ascii="Times New Roman" w:hAnsi="Times New Roman"/>
          <w:color w:val="475569"/>
          <w:sz w:val="18"/>
        </w:rPr>
        <w:t>P_A(y = k | X) is the posterior class probability; f_A,k(X) is linear scoring output; W* is fitted weights; and b_A is the class bias vector.</w:t>
      </w:r>
    </w:p>
    <w:p>
      <w:pPr>
        <w:spacing w:before="0" w:after="120" w:line="276" w:lineRule="auto"/>
        <w:jc w:val="left"/>
      </w:pPr>
      <w:r>
        <w:rPr>
          <w:rFonts w:ascii="Times New Roman" w:hAnsi="Times New Roman"/>
          <w:b w:val="0"/>
          <w:i w:val="0"/>
          <w:color w:val="1E293B"/>
          <w:sz w:val="21"/>
        </w:rPr>
        <w:t>3.2 Branch B: Distributional Interval Expert: Combines 16 groups of 8 competing Hydra kernels (128 features) [3], dyadic intervals up to depth 5 with Cornish-Fisher [9] quantile approximations across raw series (X), velocity (ΔX), and acceleration (Δ²X) (1,701 features), and real FFT spectral quantiles (22 features). Total feature dimension D_B = 1,851. The Cornish-Fisher expansion estimates arbitrary quantiles q_α in linear time O(M) without sorting:</w:t>
      </w:r>
    </w:p>
    <w:p>
      <w:pPr>
        <w:spacing w:before="80" w:after="40"/>
        <w:jc w:val="center"/>
      </w:pPr>
    </w:p>
    <w:p>
      <w:pPr>
        <w:jc w:val="center"/>
      </w:pPr>
      <w:r>
        <w:drawing>
          <wp:inline xmlns:a="http://schemas.openxmlformats.org/drawingml/2006/main" xmlns:pic="http://schemas.openxmlformats.org/drawingml/2006/picture">
            <wp:extent cx="5303520" cy="648208"/>
            <wp:docPr id="5" name="Picture 5"/>
            <wp:cNvGraphicFramePr>
              <a:graphicFrameLocks noChangeAspect="1"/>
            </wp:cNvGraphicFramePr>
            <a:graphic>
              <a:graphicData uri="http://schemas.openxmlformats.org/drawingml/2006/picture">
                <pic:pic>
                  <pic:nvPicPr>
                    <pic:cNvPr id="0" name="eq4.png"/>
                    <pic:cNvPicPr/>
                  </pic:nvPicPr>
                  <pic:blipFill>
                    <a:blip r:embed="rId15"/>
                    <a:stretch>
                      <a:fillRect/>
                    </a:stretch>
                  </pic:blipFill>
                  <pic:spPr>
                    <a:xfrm>
                      <a:off x="0" y="0"/>
                      <a:ext cx="5303520" cy="648208"/>
                    </a:xfrm>
                    <a:prstGeom prst="rect"/>
                  </pic:spPr>
                </pic:pic>
              </a:graphicData>
            </a:graphic>
          </wp:inline>
        </w:drawing>
      </w:r>
    </w:p>
    <w:p>
      <w:pPr>
        <w:spacing w:before="40" w:after="120" w:line="276" w:lineRule="auto"/>
        <w:ind w:left="288"/>
        <w:jc w:val="left"/>
      </w:pPr>
      <w:r>
        <w:rPr>
          <w:rFonts w:ascii="Times New Roman" w:hAnsi="Times New Roman"/>
          <w:b/>
          <w:color w:val="475569"/>
          <w:sz w:val="18"/>
        </w:rPr>
        <w:t xml:space="preserve">where: </w:t>
      </w:r>
      <w:r>
        <w:rPr>
          <w:rFonts w:ascii="Times New Roman" w:hAnsi="Times New Roman"/>
          <w:color w:val="475569"/>
          <w:sz w:val="18"/>
        </w:rPr>
        <w:t>q_α(S) is estimated quantile at level α; μ and σ are segment mean and standard deviation; z_α = Φ^-1(α) is standard normal quantile; S is sample skewness; K is sample kurtosis; and Ψ(·) is the asymptotic polynomial expansion.</w:t>
      </w:r>
    </w:p>
    <w:p>
      <w:pPr>
        <w:spacing w:before="0" w:after="120" w:line="276" w:lineRule="auto"/>
        <w:jc w:val="left"/>
      </w:pPr>
      <w:r>
        <w:rPr>
          <w:rFonts w:ascii="Times New Roman" w:hAnsi="Times New Roman"/>
          <w:b w:val="0"/>
          <w:i w:val="0"/>
          <w:color w:val="1E293B"/>
          <w:sz w:val="21"/>
        </w:rPr>
        <w:t>Features are fitted with 100 Extremely Randomized Trees (ExtraTrees) [10] using Shannon entropy and 10% random feature subsampling per split.</w:t>
      </w:r>
    </w:p>
    <w:p>
      <w:pPr>
        <w:spacing w:before="0" w:after="120" w:line="276" w:lineRule="auto"/>
        <w:jc w:val="left"/>
      </w:pPr>
      <w:r>
        <w:rPr>
          <w:rFonts w:ascii="Times New Roman" w:hAnsi="Times New Roman"/>
          <w:b w:val="0"/>
          <w:i w:val="0"/>
          <w:color w:val="1E293B"/>
          <w:sz w:val="21"/>
        </w:rPr>
        <w:t>3.3 Confidence-Adaptive Meta-Router: Partitions training data into an internal 30% held-out validation set while safely preserving singleton classes. Validation accuracies Val_A and Val_B are evaluated on held-out data. The routing decision is governed by empirical difference Δ = Val_A - Val_B with threshold τ = 0.08:</w:t>
      </w:r>
    </w:p>
    <w:p>
      <w:pPr>
        <w:spacing w:before="80" w:after="40"/>
        <w:jc w:val="center"/>
      </w:pPr>
    </w:p>
    <w:p>
      <w:pPr>
        <w:jc w:val="center"/>
      </w:pPr>
      <w:r>
        <w:drawing>
          <wp:inline xmlns:a="http://schemas.openxmlformats.org/drawingml/2006/main" xmlns:pic="http://schemas.openxmlformats.org/drawingml/2006/picture">
            <wp:extent cx="5303520" cy="869188"/>
            <wp:docPr id="6" name="Picture 6"/>
            <wp:cNvGraphicFramePr>
              <a:graphicFrameLocks noChangeAspect="1"/>
            </wp:cNvGraphicFramePr>
            <a:graphic>
              <a:graphicData uri="http://schemas.openxmlformats.org/drawingml/2006/picture">
                <pic:pic>
                  <pic:nvPicPr>
                    <pic:cNvPr id="0" name="eq5.png"/>
                    <pic:cNvPicPr/>
                  </pic:nvPicPr>
                  <pic:blipFill>
                    <a:blip r:embed="rId16"/>
                    <a:stretch>
                      <a:fillRect/>
                    </a:stretch>
                  </pic:blipFill>
                  <pic:spPr>
                    <a:xfrm>
                      <a:off x="0" y="0"/>
                      <a:ext cx="5303520" cy="869188"/>
                    </a:xfrm>
                    <a:prstGeom prst="rect"/>
                  </pic:spPr>
                </pic:pic>
              </a:graphicData>
            </a:graphic>
          </wp:inline>
        </w:drawing>
      </w:r>
    </w:p>
    <w:p>
      <w:pPr>
        <w:spacing w:before="40" w:after="120" w:line="276" w:lineRule="auto"/>
        <w:ind w:left="288"/>
        <w:jc w:val="left"/>
      </w:pPr>
      <w:r>
        <w:rPr>
          <w:rFonts w:ascii="Times New Roman" w:hAnsi="Times New Roman"/>
          <w:b/>
          <w:color w:val="475569"/>
          <w:sz w:val="18"/>
        </w:rPr>
        <w:t xml:space="preserve">where: </w:t>
      </w:r>
      <w:r>
        <w:rPr>
          <w:rFonts w:ascii="Times New Roman" w:hAnsi="Times New Roman"/>
          <w:color w:val="475569"/>
          <w:sz w:val="18"/>
        </w:rPr>
        <w:t>y*(X) is the predicted class label; Δ = Val_A - Val_B is empirical validation accuracy margin; τ = 0.08 is regime threshold; P_A and P_B are expert posteriors; and P_blend is the blended probability vector.</w:t>
      </w:r>
    </w:p>
    <w:p>
      <w:pPr>
        <w:spacing w:before="0" w:after="120" w:line="276" w:lineRule="auto"/>
        <w:jc w:val="left"/>
      </w:pPr>
      <w:r>
        <w:rPr>
          <w:rFonts w:ascii="Times New Roman" w:hAnsi="Times New Roman"/>
          <w:b w:val="0"/>
          <w:i w:val="0"/>
          <w:color w:val="1E293B"/>
          <w:sz w:val="21"/>
        </w:rPr>
        <w:t>where in the competitive regime, predictions are smoothly blended with weight w_A:</w:t>
      </w:r>
    </w:p>
    <w:p>
      <w:pPr>
        <w:spacing w:before="80" w:after="40"/>
        <w:jc w:val="center"/>
      </w:pPr>
    </w:p>
    <w:p>
      <w:pPr>
        <w:jc w:val="center"/>
      </w:pPr>
      <w:r>
        <w:drawing>
          <wp:inline xmlns:a="http://schemas.openxmlformats.org/drawingml/2006/main" xmlns:pic="http://schemas.openxmlformats.org/drawingml/2006/picture">
            <wp:extent cx="5303520" cy="648208"/>
            <wp:docPr id="7" name="Picture 7"/>
            <wp:cNvGraphicFramePr>
              <a:graphicFrameLocks noChangeAspect="1"/>
            </wp:cNvGraphicFramePr>
            <a:graphic>
              <a:graphicData uri="http://schemas.openxmlformats.org/drawingml/2006/picture">
                <pic:pic>
                  <pic:nvPicPr>
                    <pic:cNvPr id="0" name="eq6.png"/>
                    <pic:cNvPicPr/>
                  </pic:nvPicPr>
                  <pic:blipFill>
                    <a:blip r:embed="rId17"/>
                    <a:stretch>
                      <a:fillRect/>
                    </a:stretch>
                  </pic:blipFill>
                  <pic:spPr>
                    <a:xfrm>
                      <a:off x="0" y="0"/>
                      <a:ext cx="5303520" cy="648208"/>
                    </a:xfrm>
                    <a:prstGeom prst="rect"/>
                  </pic:spPr>
                </pic:pic>
              </a:graphicData>
            </a:graphic>
          </wp:inline>
        </w:drawing>
      </w:r>
    </w:p>
    <w:p>
      <w:pPr>
        <w:spacing w:before="40" w:after="120" w:line="276" w:lineRule="auto"/>
        <w:ind w:left="288"/>
        <w:jc w:val="left"/>
      </w:pPr>
      <w:r>
        <w:rPr>
          <w:rFonts w:ascii="Times New Roman" w:hAnsi="Times New Roman"/>
          <w:b/>
          <w:color w:val="475569"/>
          <w:sz w:val="18"/>
        </w:rPr>
        <w:t xml:space="preserve">where: </w:t>
      </w:r>
      <w:r>
        <w:rPr>
          <w:rFonts w:ascii="Times New Roman" w:hAnsi="Times New Roman"/>
          <w:color w:val="475569"/>
          <w:sz w:val="18"/>
        </w:rPr>
        <w:t>P_blend is the blended probability vector; w_A is dynamic weight assigned to Branch A; (1 - w_A) is weight assigned to Branch B; and clip(·, 0.15, 0.85) enforces robust probability bounds.</w:t>
      </w:r>
    </w:p>
    <w:p>
      <w:pPr>
        <w:spacing w:before="120" w:after="40"/>
        <w:jc w:val="center"/>
      </w:pPr>
    </w:p>
    <w:p>
      <w:pPr>
        <w:jc w:val="center"/>
      </w:pPr>
      <w:r>
        <w:drawing>
          <wp:inline xmlns:a="http://schemas.openxmlformats.org/drawingml/2006/main" xmlns:pic="http://schemas.openxmlformats.org/drawingml/2006/picture">
            <wp:extent cx="5029200" cy="3149651"/>
            <wp:docPr id="8" name="Picture 8"/>
            <wp:cNvGraphicFramePr>
              <a:graphicFrameLocks noChangeAspect="1"/>
            </wp:cNvGraphicFramePr>
            <a:graphic>
              <a:graphicData uri="http://schemas.openxmlformats.org/drawingml/2006/picture">
                <pic:pic>
                  <pic:nvPicPr>
                    <pic:cNvPr id="0" name="fig2_routing_render-1.png"/>
                    <pic:cNvPicPr/>
                  </pic:nvPicPr>
                  <pic:blipFill>
                    <a:blip r:embed="rId18"/>
                    <a:stretch>
                      <a:fillRect/>
                    </a:stretch>
                  </pic:blipFill>
                  <pic:spPr>
                    <a:xfrm>
                      <a:off x="0" y="0"/>
                      <a:ext cx="5029200" cy="3149651"/>
                    </a:xfrm>
                    <a:prstGeom prst="rect"/>
                  </pic:spPr>
                </pic:pic>
              </a:graphicData>
            </a:graphic>
          </wp:inline>
        </w:drawing>
      </w:r>
    </w:p>
    <w:p>
      <w:pPr>
        <w:spacing w:before="60" w:after="180"/>
        <w:jc w:val="center"/>
      </w:pPr>
      <w:r>
        <w:rPr>
          <w:rFonts w:ascii="Times New Roman" w:hAnsi="Times New Roman"/>
          <w:i/>
          <w:color w:val="64748B"/>
          <w:sz w:val="18"/>
        </w:rPr>
        <w:t>Figure 2: Piecewise routing and blending regimes as a function of validation margin Δ with step transitions.</w:t>
      </w:r>
    </w:p>
    <w:p>
      <w:pPr>
        <w:keepNext/>
        <w:spacing w:before="280" w:after="80"/>
        <w:jc w:val="left"/>
      </w:pPr>
      <w:r>
        <w:rPr>
          <w:rFonts w:ascii="Times New Roman" w:hAnsi="Times New Roman"/>
          <w:b/>
          <w:color w:val="0F172A"/>
          <w:sz w:val="26"/>
        </w:rPr>
        <w:t>4. Experimental Results and Benchmark Rankings</w:t>
      </w:r>
    </w:p>
    <w:p>
      <w:pPr>
        <w:spacing w:before="0" w:after="120" w:line="276" w:lineRule="auto"/>
        <w:jc w:val="left"/>
      </w:pPr>
      <w:r>
        <w:rPr>
          <w:rFonts w:ascii="Times New Roman" w:hAnsi="Times New Roman"/>
          <w:b w:val="0"/>
          <w:i w:val="0"/>
          <w:color w:val="1E293B"/>
          <w:sz w:val="21"/>
        </w:rPr>
        <w:t>Following the 109-dataset, 30-resample evaluation protocol of MiniRocket [2] and MultiRocket [4], CADENCE was evaluated across the 109 equal-length datasets of the UCR Time Series Archive [6] over the 30 official resamples (3,270 total evaluations). Table 1 reports the grand mean accuracy against published state-of-the-art benchmarks.</w:t>
      </w:r>
    </w:p>
    <w:tbl>
      <w:tblPr>
        <w:tblW w:type="auto" w:w="0"/>
        <w:jc w:val="center"/>
        <w:tblLook w:firstColumn="1" w:firstRow="1" w:lastColumn="0" w:lastRow="0" w:noHBand="0" w:noVBand="1" w:val="04A0"/>
        <w:tblBorders>
          <w:left w:val="none"/>
          <w:right w:val="none"/>
          <w:insideH w:val="none"/>
          <w:insideV w:val="none"/>
          <w:top w:val="single" w:sz="10" w:color="0F172A"/>
          <w:bottom w:val="single" w:sz="10" w:color="0F172A"/>
        </w:tblBorders>
      </w:tblPr>
      <w:tblGrid>
        <w:gridCol w:w="1337"/>
        <w:gridCol w:w="1337"/>
        <w:gridCol w:w="1337"/>
        <w:gridCol w:w="1337"/>
        <w:gridCol w:w="1337"/>
        <w:gridCol w:w="1337"/>
        <w:gridCol w:w="1337"/>
      </w:tblGrid>
      <w:tr>
        <w:tc>
          <w:tcPr>
            <w:tcW w:type="dxa" w:w="720"/>
            <w:tcBorders>
              <w:bottom w:val="single" w:sz="6" w:color="0F172A"/>
            </w:tcBorders>
            <w:vAlign w:val="center"/>
            <w:tcMar>
              <w:top w:w="60" w:type="dxa"/>
              <w:bottom w:w="60" w:type="dxa"/>
              <w:left w:w="60" w:type="dxa"/>
              <w:right w:w="60" w:type="dxa"/>
            </w:tcMar>
          </w:tcPr>
          <w:p>
            <w:pPr>
              <w:spacing w:before="20" w:after="20"/>
              <w:jc w:val="center"/>
            </w:pPr>
            <w:r>
              <w:rPr>
                <w:rFonts w:ascii="Times New Roman" w:hAnsi="Times New Roman"/>
                <w:b/>
                <w:sz w:val="17"/>
              </w:rPr>
              <w:t>Rank</w:t>
            </w:r>
          </w:p>
        </w:tc>
        <w:tc>
          <w:tcPr>
            <w:tcW w:type="dxa" w:w="2592"/>
            <w:tcBorders>
              <w:bottom w:val="single" w:sz="6" w:color="0F172A"/>
            </w:tcBorders>
            <w:vAlign w:val="center"/>
            <w:tcMar>
              <w:top w:w="60" w:type="dxa"/>
              <w:bottom w:w="60" w:type="dxa"/>
              <w:left w:w="60" w:type="dxa"/>
              <w:right w:w="60" w:type="dxa"/>
            </w:tcMar>
          </w:tcPr>
          <w:p>
            <w:pPr>
              <w:spacing w:before="20" w:after="20"/>
              <w:jc w:val="center"/>
            </w:pPr>
            <w:r>
              <w:rPr>
                <w:rFonts w:ascii="Times New Roman" w:hAnsi="Times New Roman"/>
                <w:b/>
                <w:sz w:val="17"/>
              </w:rPr>
              <w:t>Classifier</w:t>
            </w:r>
          </w:p>
        </w:tc>
        <w:tc>
          <w:tcPr>
            <w:tcW w:type="dxa" w:w="2592"/>
            <w:tcBorders>
              <w:bottom w:val="single" w:sz="6" w:color="0F172A"/>
            </w:tcBorders>
            <w:vAlign w:val="center"/>
            <w:tcMar>
              <w:top w:w="60" w:type="dxa"/>
              <w:bottom w:w="60" w:type="dxa"/>
              <w:left w:w="60" w:type="dxa"/>
              <w:right w:w="60" w:type="dxa"/>
            </w:tcMar>
          </w:tcPr>
          <w:p>
            <w:pPr>
              <w:spacing w:before="20" w:after="20"/>
              <w:jc w:val="center"/>
            </w:pPr>
            <w:r>
              <w:rPr>
                <w:rFonts w:ascii="Times New Roman" w:hAnsi="Times New Roman"/>
                <w:b/>
                <w:sz w:val="17"/>
              </w:rPr>
              <w:t>Algorithmic Paradigm</w:t>
            </w:r>
          </w:p>
        </w:tc>
        <w:tc>
          <w:tcPr>
            <w:tcW w:type="dxa" w:w="1872"/>
            <w:tcBorders>
              <w:bottom w:val="single" w:sz="6" w:color="0F172A"/>
            </w:tcBorders>
            <w:vAlign w:val="center"/>
            <w:tcMar>
              <w:top w:w="60" w:type="dxa"/>
              <w:bottom w:w="60" w:type="dxa"/>
              <w:left w:w="60" w:type="dxa"/>
              <w:right w:w="60" w:type="dxa"/>
            </w:tcMar>
          </w:tcPr>
          <w:p>
            <w:pPr>
              <w:spacing w:before="20" w:after="20"/>
              <w:jc w:val="center"/>
            </w:pPr>
            <w:r>
              <w:rPr>
                <w:rFonts w:ascii="Times New Roman" w:hAnsi="Times New Roman"/>
                <w:b/>
                <w:sz w:val="17"/>
              </w:rPr>
              <w:t>Mean Acc ± Std</w:t>
            </w:r>
          </w:p>
        </w:tc>
        <w:tc>
          <w:tcPr>
            <w:tcW w:type="dxa" w:w="1152"/>
            <w:tcBorders>
              <w:bottom w:val="single" w:sz="6" w:color="0F172A"/>
            </w:tcBorders>
            <w:vAlign w:val="center"/>
            <w:tcMar>
              <w:top w:w="60" w:type="dxa"/>
              <w:bottom w:w="60" w:type="dxa"/>
              <w:left w:w="60" w:type="dxa"/>
              <w:right w:w="60" w:type="dxa"/>
            </w:tcMar>
          </w:tcPr>
          <w:p>
            <w:pPr>
              <w:spacing w:before="20" w:after="20"/>
              <w:jc w:val="center"/>
            </w:pPr>
            <w:r>
              <w:rPr>
                <w:rFonts w:ascii="Times New Roman" w:hAnsi="Times New Roman"/>
                <w:b/>
                <w:sz w:val="17"/>
              </w:rPr>
              <w:t>Mean Rank</w:t>
            </w:r>
          </w:p>
        </w:tc>
        <w:tc>
          <w:tcPr>
            <w:tcW w:type="dxa" w:w="1296"/>
            <w:tcBorders>
              <w:bottom w:val="single" w:sz="6" w:color="0F172A"/>
            </w:tcBorders>
            <w:vAlign w:val="center"/>
            <w:tcMar>
              <w:top w:w="60" w:type="dxa"/>
              <w:bottom w:w="60" w:type="dxa"/>
              <w:left w:w="60" w:type="dxa"/>
              <w:right w:w="60" w:type="dxa"/>
            </w:tcMar>
          </w:tcPr>
          <w:p>
            <w:pPr>
              <w:spacing w:before="20" w:after="20"/>
              <w:jc w:val="center"/>
            </w:pPr>
            <w:r>
              <w:rPr>
                <w:rFonts w:ascii="Times New Roman" w:hAnsi="Times New Roman"/>
                <w:b/>
                <w:sz w:val="17"/>
              </w:rPr>
              <w:t>W / T / L vs Ours</w:t>
            </w:r>
          </w:p>
        </w:tc>
        <w:tc>
          <w:tcPr>
            <w:tcW w:type="dxa" w:w="1008"/>
            <w:tcBorders>
              <w:bottom w:val="single" w:sz="6" w:color="0F172A"/>
            </w:tcBorders>
            <w:vAlign w:val="center"/>
            <w:tcMar>
              <w:top w:w="60" w:type="dxa"/>
              <w:bottom w:w="60" w:type="dxa"/>
              <w:left w:w="60" w:type="dxa"/>
              <w:right w:w="60" w:type="dxa"/>
            </w:tcMar>
          </w:tcPr>
          <w:p>
            <w:pPr>
              <w:spacing w:before="20" w:after="20"/>
              <w:jc w:val="center"/>
            </w:pPr>
            <w:r>
              <w:rPr>
                <w:rFonts w:ascii="Times New Roman" w:hAnsi="Times New Roman"/>
                <w:b/>
                <w:sz w:val="17"/>
              </w:rPr>
              <w:t>p_Holm</w:t>
            </w:r>
          </w:p>
        </w:tc>
      </w:tr>
      <w:tr>
        <w:tc>
          <w:tcPr>
            <w:tcW w:type="dxa" w:w="720"/>
            <w:vAlign w:val="center"/>
            <w:tcMar>
              <w:top w:w="60" w:type="dxa"/>
              <w:bottom w:w="60" w:type="dxa"/>
              <w:left w:w="60" w:type="dxa"/>
              <w:right w:w="60" w:type="dxa"/>
            </w:tcMar>
          </w:tcPr>
          <w:p>
            <w:pPr>
              <w:spacing w:before="20" w:after="20"/>
              <w:jc w:val="center"/>
            </w:pPr>
            <w:r>
              <w:rPr>
                <w:rFonts w:ascii="Times New Roman" w:hAnsi="Times New Roman"/>
                <w:i/>
                <w:sz w:val="17"/>
              </w:rPr>
              <w:t>--</w:t>
            </w:r>
          </w:p>
        </w:tc>
        <w:tc>
          <w:tcPr>
            <w:tcW w:type="dxa" w:w="2592"/>
            <w:vAlign w:val="center"/>
            <w:tcMar>
              <w:top w:w="60" w:type="dxa"/>
              <w:bottom w:w="60" w:type="dxa"/>
              <w:left w:w="60" w:type="dxa"/>
              <w:right w:w="60" w:type="dxa"/>
            </w:tcMar>
          </w:tcPr>
          <w:p>
            <w:pPr>
              <w:spacing w:before="20" w:after="20"/>
              <w:jc w:val="left"/>
            </w:pPr>
            <w:r>
              <w:rPr>
                <w:rFonts w:ascii="Times New Roman" w:hAnsi="Times New Roman"/>
                <w:i/>
                <w:sz w:val="17"/>
              </w:rPr>
              <w:t>Oracle Ceiling (Post-hoc)</w:t>
            </w:r>
          </w:p>
        </w:tc>
        <w:tc>
          <w:tcPr>
            <w:tcW w:type="dxa" w:w="2592"/>
            <w:vAlign w:val="center"/>
            <w:tcMar>
              <w:top w:w="60" w:type="dxa"/>
              <w:bottom w:w="60" w:type="dxa"/>
              <w:left w:w="60" w:type="dxa"/>
              <w:right w:w="60" w:type="dxa"/>
            </w:tcMar>
          </w:tcPr>
          <w:p>
            <w:pPr>
              <w:spacing w:before="20" w:after="20"/>
              <w:jc w:val="left"/>
            </w:pPr>
            <w:r>
              <w:rPr>
                <w:rFonts w:ascii="Times New Roman" w:hAnsi="Times New Roman"/>
                <w:i/>
                <w:sz w:val="17"/>
              </w:rPr>
              <w:t>Per-dataset Best</w:t>
            </w:r>
          </w:p>
        </w:tc>
        <w:tc>
          <w:tcPr>
            <w:tcW w:type="dxa" w:w="1872"/>
            <w:vAlign w:val="center"/>
            <w:tcMar>
              <w:top w:w="60" w:type="dxa"/>
              <w:bottom w:w="60" w:type="dxa"/>
              <w:left w:w="60" w:type="dxa"/>
              <w:right w:w="60" w:type="dxa"/>
            </w:tcMar>
          </w:tcPr>
          <w:p>
            <w:pPr>
              <w:spacing w:before="20" w:after="20"/>
              <w:jc w:val="right"/>
            </w:pPr>
            <w:r>
              <w:rPr>
                <w:rFonts w:ascii="Times New Roman" w:hAnsi="Times New Roman"/>
                <w:i/>
                <w:sz w:val="17"/>
              </w:rPr>
              <w:t>0.9067 ± 0.1062</w:t>
            </w:r>
          </w:p>
        </w:tc>
        <w:tc>
          <w:tcPr>
            <w:tcW w:type="dxa" w:w="1152"/>
            <w:vAlign w:val="center"/>
            <w:tcMar>
              <w:top w:w="60" w:type="dxa"/>
              <w:bottom w:w="60" w:type="dxa"/>
              <w:left w:w="60" w:type="dxa"/>
              <w:right w:w="60" w:type="dxa"/>
            </w:tcMar>
          </w:tcPr>
          <w:p>
            <w:pPr>
              <w:spacing w:before="20" w:after="20"/>
              <w:jc w:val="center"/>
            </w:pPr>
            <w:r>
              <w:rPr>
                <w:rFonts w:ascii="Times New Roman" w:hAnsi="Times New Roman"/>
                <w:i/>
                <w:sz w:val="17"/>
              </w:rPr>
              <w:t>--</w:t>
            </w:r>
          </w:p>
        </w:tc>
        <w:tc>
          <w:tcPr>
            <w:tcW w:type="dxa" w:w="1296"/>
            <w:vAlign w:val="center"/>
            <w:tcMar>
              <w:top w:w="60" w:type="dxa"/>
              <w:bottom w:w="60" w:type="dxa"/>
              <w:left w:w="60" w:type="dxa"/>
              <w:right w:w="60" w:type="dxa"/>
            </w:tcMar>
          </w:tcPr>
          <w:p>
            <w:pPr>
              <w:spacing w:before="20" w:after="20"/>
              <w:jc w:val="center"/>
            </w:pPr>
            <w:r>
              <w:rPr>
                <w:rFonts w:ascii="Times New Roman" w:hAnsi="Times New Roman"/>
                <w:i/>
                <w:sz w:val="17"/>
              </w:rPr>
              <w:t>--</w:t>
            </w:r>
          </w:p>
        </w:tc>
        <w:tc>
          <w:tcPr>
            <w:tcW w:type="dxa" w:w="1008"/>
            <w:vAlign w:val="center"/>
            <w:tcMar>
              <w:top w:w="60" w:type="dxa"/>
              <w:bottom w:w="60" w:type="dxa"/>
              <w:left w:w="60" w:type="dxa"/>
              <w:right w:w="60" w:type="dxa"/>
            </w:tcMar>
          </w:tcPr>
          <w:p>
            <w:pPr>
              <w:spacing w:before="20" w:after="20"/>
              <w:jc w:val="center"/>
            </w:pPr>
            <w:r>
              <w:rPr>
                <w:rFonts w:ascii="Times New Roman" w:hAnsi="Times New Roman"/>
                <w:i/>
                <w:sz w:val="17"/>
              </w:rPr>
              <w:t>--</w:t>
            </w:r>
          </w:p>
        </w:tc>
      </w:tr>
      <w:tr>
        <w:tc>
          <w:tcPr>
            <w:tcW w:type="dxa" w:w="720"/>
            <w:vAlign w:val="center"/>
            <w:tcMar>
              <w:top w:w="60" w:type="dxa"/>
              <w:bottom w:w="60" w:type="dxa"/>
              <w:left w:w="60" w:type="dxa"/>
              <w:right w:w="60" w:type="dxa"/>
            </w:tcMar>
          </w:tcPr>
          <w:p>
            <w:pPr>
              <w:spacing w:before="20" w:after="20"/>
              <w:jc w:val="center"/>
            </w:pPr>
            <w:r>
              <w:rPr>
                <w:rFonts w:ascii="Times New Roman" w:hAnsi="Times New Roman"/>
                <w:b/>
                <w:sz w:val="17"/>
              </w:rPr>
              <w:t>1</w:t>
            </w:r>
          </w:p>
        </w:tc>
        <w:tc>
          <w:tcPr>
            <w:tcW w:type="dxa" w:w="2592"/>
            <w:vAlign w:val="center"/>
            <w:tcMar>
              <w:top w:w="60" w:type="dxa"/>
              <w:bottom w:w="60" w:type="dxa"/>
              <w:left w:w="60" w:type="dxa"/>
              <w:right w:w="60" w:type="dxa"/>
            </w:tcMar>
          </w:tcPr>
          <w:p>
            <w:pPr>
              <w:spacing w:before="20" w:after="20"/>
              <w:jc w:val="left"/>
            </w:pPr>
            <w:r>
              <w:rPr>
                <w:rFonts w:ascii="Times New Roman" w:hAnsi="Times New Roman"/>
                <w:b/>
                <w:sz w:val="17"/>
              </w:rPr>
              <w:t>HIVE-COTE 2.0</w:t>
            </w:r>
          </w:p>
        </w:tc>
        <w:tc>
          <w:tcPr>
            <w:tcW w:type="dxa" w:w="2592"/>
            <w:vAlign w:val="center"/>
            <w:tcMar>
              <w:top w:w="60" w:type="dxa"/>
              <w:bottom w:w="60" w:type="dxa"/>
              <w:left w:w="60" w:type="dxa"/>
              <w:right w:w="60" w:type="dxa"/>
            </w:tcMar>
          </w:tcPr>
          <w:p>
            <w:pPr>
              <w:spacing w:before="20" w:after="20"/>
              <w:jc w:val="left"/>
            </w:pPr>
            <w:r>
              <w:rPr>
                <w:rFonts w:ascii="Times New Roman" w:hAnsi="Times New Roman"/>
                <w:b/>
                <w:sz w:val="17"/>
              </w:rPr>
              <w:t>Heterogeneous Meta-Ensemble</w:t>
            </w:r>
          </w:p>
        </w:tc>
        <w:tc>
          <w:tcPr>
            <w:tcW w:type="dxa" w:w="1872"/>
            <w:vAlign w:val="center"/>
            <w:tcMar>
              <w:top w:w="60" w:type="dxa"/>
              <w:bottom w:w="60" w:type="dxa"/>
              <w:left w:w="60" w:type="dxa"/>
              <w:right w:w="60" w:type="dxa"/>
            </w:tcMar>
          </w:tcPr>
          <w:p>
            <w:pPr>
              <w:spacing w:before="20" w:after="20"/>
              <w:jc w:val="right"/>
            </w:pPr>
            <w:r>
              <w:rPr>
                <w:rFonts w:ascii="Times New Roman" w:hAnsi="Times New Roman"/>
                <w:b/>
                <w:sz w:val="17"/>
              </w:rPr>
              <w:t>0.8895 ± 0.1159</w:t>
            </w:r>
          </w:p>
        </w:tc>
        <w:tc>
          <w:tcPr>
            <w:tcW w:type="dxa" w:w="1152"/>
            <w:vAlign w:val="center"/>
            <w:tcMar>
              <w:top w:w="60" w:type="dxa"/>
              <w:bottom w:w="60" w:type="dxa"/>
              <w:left w:w="60" w:type="dxa"/>
              <w:right w:w="60" w:type="dxa"/>
            </w:tcMar>
          </w:tcPr>
          <w:p>
            <w:pPr>
              <w:spacing w:before="20" w:after="20"/>
              <w:jc w:val="center"/>
            </w:pPr>
            <w:r>
              <w:rPr>
                <w:rFonts w:ascii="Times New Roman" w:hAnsi="Times New Roman"/>
                <w:b/>
                <w:sz w:val="17"/>
              </w:rPr>
              <w:t>6.22</w:t>
            </w:r>
          </w:p>
        </w:tc>
        <w:tc>
          <w:tcPr>
            <w:tcW w:type="dxa" w:w="1296"/>
            <w:vAlign w:val="center"/>
            <w:tcMar>
              <w:top w:w="60" w:type="dxa"/>
              <w:bottom w:w="60" w:type="dxa"/>
              <w:left w:w="60" w:type="dxa"/>
              <w:right w:w="60" w:type="dxa"/>
            </w:tcMar>
          </w:tcPr>
          <w:p>
            <w:pPr>
              <w:spacing w:before="20" w:after="20"/>
              <w:jc w:val="center"/>
            </w:pPr>
            <w:r>
              <w:rPr>
                <w:rFonts w:ascii="Times New Roman" w:hAnsi="Times New Roman"/>
                <w:b/>
                <w:sz w:val="17"/>
              </w:rPr>
              <w:t>63 / 7 / 39</w:t>
            </w:r>
          </w:p>
        </w:tc>
        <w:tc>
          <w:tcPr>
            <w:tcW w:type="dxa" w:w="1008"/>
            <w:vAlign w:val="center"/>
            <w:tcMar>
              <w:top w:w="60" w:type="dxa"/>
              <w:bottom w:w="60" w:type="dxa"/>
              <w:left w:w="60" w:type="dxa"/>
              <w:right w:w="60" w:type="dxa"/>
            </w:tcMar>
          </w:tcPr>
          <w:p>
            <w:pPr>
              <w:spacing w:before="20" w:after="20"/>
              <w:jc w:val="center"/>
            </w:pPr>
            <w:r>
              <w:rPr>
                <w:rFonts w:ascii="Times New Roman" w:hAnsi="Times New Roman"/>
                <w:b/>
                <w:sz w:val="17"/>
              </w:rPr>
              <w:t>0.295</w:t>
            </w:r>
          </w:p>
        </w:tc>
      </w:tr>
      <w:tr>
        <w:tc>
          <w:tcPr>
            <w:tcW w:type="dxa" w:w="720"/>
            <w:vAlign w:val="center"/>
            <w:tcMar>
              <w:top w:w="60" w:type="dxa"/>
              <w:bottom w:w="60" w:type="dxa"/>
              <w:left w:w="60" w:type="dxa"/>
              <w:right w:w="60" w:type="dxa"/>
            </w:tcMar>
          </w:tcPr>
          <w:p>
            <w:pPr>
              <w:spacing w:before="20" w:after="20"/>
              <w:jc w:val="center"/>
            </w:pPr>
            <w:r>
              <w:rPr>
                <w:rFonts w:ascii="Times New Roman" w:hAnsi="Times New Roman"/>
                <w:b/>
                <w:sz w:val="17"/>
              </w:rPr>
              <w:t>2</w:t>
            </w:r>
          </w:p>
        </w:tc>
        <w:tc>
          <w:tcPr>
            <w:tcW w:type="dxa" w:w="2592"/>
            <w:vAlign w:val="center"/>
            <w:tcMar>
              <w:top w:w="60" w:type="dxa"/>
              <w:bottom w:w="60" w:type="dxa"/>
              <w:left w:w="60" w:type="dxa"/>
              <w:right w:w="60" w:type="dxa"/>
            </w:tcMar>
          </w:tcPr>
          <w:p>
            <w:pPr>
              <w:spacing w:before="20" w:after="20"/>
              <w:jc w:val="left"/>
            </w:pPr>
            <w:r>
              <w:rPr>
                <w:rFonts w:ascii="Times New Roman" w:hAnsi="Times New Roman"/>
                <w:b/>
                <w:sz w:val="17"/>
              </w:rPr>
              <w:t>CADENCE (Ours)</w:t>
            </w:r>
          </w:p>
        </w:tc>
        <w:tc>
          <w:tcPr>
            <w:tcW w:type="dxa" w:w="2592"/>
            <w:vAlign w:val="center"/>
            <w:tcMar>
              <w:top w:w="60" w:type="dxa"/>
              <w:bottom w:w="60" w:type="dxa"/>
              <w:left w:w="60" w:type="dxa"/>
              <w:right w:w="60" w:type="dxa"/>
            </w:tcMar>
          </w:tcPr>
          <w:p>
            <w:pPr>
              <w:spacing w:before="20" w:after="20"/>
              <w:jc w:val="left"/>
            </w:pPr>
            <w:r>
              <w:rPr>
                <w:rFonts w:ascii="Times New Roman" w:hAnsi="Times New Roman"/>
                <w:b/>
                <w:sz w:val="17"/>
              </w:rPr>
              <w:t>Adaptive Dual-Expert</w:t>
            </w:r>
          </w:p>
        </w:tc>
        <w:tc>
          <w:tcPr>
            <w:tcW w:type="dxa" w:w="1872"/>
            <w:vAlign w:val="center"/>
            <w:tcMar>
              <w:top w:w="60" w:type="dxa"/>
              <w:bottom w:w="60" w:type="dxa"/>
              <w:left w:w="60" w:type="dxa"/>
              <w:right w:w="60" w:type="dxa"/>
            </w:tcMar>
          </w:tcPr>
          <w:p>
            <w:pPr>
              <w:spacing w:before="20" w:after="20"/>
              <w:jc w:val="right"/>
            </w:pPr>
            <w:r>
              <w:rPr>
                <w:rFonts w:ascii="Times New Roman" w:hAnsi="Times New Roman"/>
                <w:b/>
                <w:sz w:val="17"/>
              </w:rPr>
              <w:t>0.8864 ± 0.1120</w:t>
            </w:r>
          </w:p>
        </w:tc>
        <w:tc>
          <w:tcPr>
            <w:tcW w:type="dxa" w:w="1152"/>
            <w:vAlign w:val="center"/>
            <w:tcMar>
              <w:top w:w="60" w:type="dxa"/>
              <w:bottom w:w="60" w:type="dxa"/>
              <w:left w:w="60" w:type="dxa"/>
              <w:right w:w="60" w:type="dxa"/>
            </w:tcMar>
          </w:tcPr>
          <w:p>
            <w:pPr>
              <w:spacing w:before="20" w:after="20"/>
              <w:jc w:val="center"/>
            </w:pPr>
            <w:r>
              <w:rPr>
                <w:rFonts w:ascii="Times New Roman" w:hAnsi="Times New Roman"/>
                <w:b/>
                <w:sz w:val="17"/>
              </w:rPr>
              <w:t>8.26</w:t>
            </w:r>
          </w:p>
        </w:tc>
        <w:tc>
          <w:tcPr>
            <w:tcW w:type="dxa" w:w="1296"/>
            <w:vAlign w:val="center"/>
            <w:tcMar>
              <w:top w:w="60" w:type="dxa"/>
              <w:bottom w:w="60" w:type="dxa"/>
              <w:left w:w="60" w:type="dxa"/>
              <w:right w:w="60" w:type="dxa"/>
            </w:tcMar>
          </w:tcPr>
          <w:p>
            <w:pPr>
              <w:spacing w:before="20" w:after="20"/>
              <w:jc w:val="center"/>
            </w:pPr>
            <w:r>
              <w:rPr>
                <w:rFonts w:ascii="Times New Roman" w:hAnsi="Times New Roman"/>
                <w:b/>
                <w:sz w:val="17"/>
              </w:rPr>
              <w:t>--</w:t>
            </w:r>
          </w:p>
        </w:tc>
        <w:tc>
          <w:tcPr>
            <w:tcW w:type="dxa" w:w="1008"/>
            <w:vAlign w:val="center"/>
            <w:tcMar>
              <w:top w:w="60" w:type="dxa"/>
              <w:bottom w:w="60" w:type="dxa"/>
              <w:left w:w="60" w:type="dxa"/>
              <w:right w:w="60" w:type="dxa"/>
            </w:tcMar>
          </w:tcPr>
          <w:p>
            <w:pPr>
              <w:spacing w:before="20" w:after="20"/>
              <w:jc w:val="center"/>
            </w:pPr>
            <w:r>
              <w:rPr>
                <w:rFonts w:ascii="Times New Roman" w:hAnsi="Times New Roman"/>
                <w:b/>
                <w:sz w:val="17"/>
              </w:rPr>
              <w:t>--</w:t>
            </w:r>
          </w:p>
        </w:tc>
      </w:tr>
      <w:tr>
        <w:tc>
          <w:tcPr>
            <w:tcW w:type="dxa" w:w="720"/>
            <w:vAlign w:val="center"/>
            <w:tcMar>
              <w:top w:w="60" w:type="dxa"/>
              <w:bottom w:w="60" w:type="dxa"/>
              <w:left w:w="60" w:type="dxa"/>
              <w:right w:w="60" w:type="dxa"/>
            </w:tcMar>
          </w:tcPr>
          <w:p>
            <w:pPr>
              <w:spacing w:before="20" w:after="20"/>
              <w:jc w:val="center"/>
            </w:pPr>
            <w:r>
              <w:rPr>
                <w:rFonts w:ascii="Times New Roman" w:hAnsi="Times New Roman"/>
                <w:sz w:val="17"/>
              </w:rPr>
              <w:t>3</w:t>
            </w:r>
          </w:p>
        </w:tc>
        <w:tc>
          <w:tcPr>
            <w:tcW w:type="dxa" w:w="2592"/>
            <w:vAlign w:val="center"/>
            <w:tcMar>
              <w:top w:w="60" w:type="dxa"/>
              <w:bottom w:w="60" w:type="dxa"/>
              <w:left w:w="60" w:type="dxa"/>
              <w:right w:w="60" w:type="dxa"/>
            </w:tcMar>
          </w:tcPr>
          <w:p>
            <w:pPr>
              <w:spacing w:before="20" w:after="20"/>
              <w:jc w:val="left"/>
            </w:pPr>
            <w:r>
              <w:rPr>
                <w:rFonts w:ascii="Times New Roman" w:hAnsi="Times New Roman"/>
                <w:sz w:val="17"/>
              </w:rPr>
              <w:t>Hydra+MultiRocket</w:t>
            </w:r>
          </w:p>
        </w:tc>
        <w:tc>
          <w:tcPr>
            <w:tcW w:type="dxa" w:w="2592"/>
            <w:vAlign w:val="center"/>
            <w:tcMar>
              <w:top w:w="60" w:type="dxa"/>
              <w:bottom w:w="60" w:type="dxa"/>
              <w:left w:w="60" w:type="dxa"/>
              <w:right w:w="60" w:type="dxa"/>
            </w:tcMar>
          </w:tcPr>
          <w:p>
            <w:pPr>
              <w:spacing w:before="20" w:after="20"/>
              <w:jc w:val="left"/>
            </w:pPr>
            <w:r>
              <w:rPr>
                <w:rFonts w:ascii="Times New Roman" w:hAnsi="Times New Roman"/>
                <w:sz w:val="17"/>
              </w:rPr>
              <w:t>Convolutional Hybrid</w:t>
            </w:r>
          </w:p>
        </w:tc>
        <w:tc>
          <w:tcPr>
            <w:tcW w:type="dxa" w:w="1872"/>
            <w:vAlign w:val="center"/>
            <w:tcMar>
              <w:top w:w="60" w:type="dxa"/>
              <w:bottom w:w="60" w:type="dxa"/>
              <w:left w:w="60" w:type="dxa"/>
              <w:right w:w="60" w:type="dxa"/>
            </w:tcMar>
          </w:tcPr>
          <w:p>
            <w:pPr>
              <w:spacing w:before="20" w:after="20"/>
              <w:jc w:val="right"/>
            </w:pPr>
            <w:r>
              <w:rPr>
                <w:rFonts w:ascii="Times New Roman" w:hAnsi="Times New Roman"/>
                <w:sz w:val="17"/>
              </w:rPr>
              <w:t>0.8818 ± 0.1218</w:t>
            </w:r>
          </w:p>
        </w:tc>
        <w:tc>
          <w:tcPr>
            <w:tcW w:type="dxa" w:w="1152"/>
            <w:vAlign w:val="center"/>
            <w:tcMar>
              <w:top w:w="60" w:type="dxa"/>
              <w:bottom w:w="60" w:type="dxa"/>
              <w:left w:w="60" w:type="dxa"/>
              <w:right w:w="60" w:type="dxa"/>
            </w:tcMar>
          </w:tcPr>
          <w:p>
            <w:pPr>
              <w:spacing w:before="20" w:after="20"/>
              <w:jc w:val="center"/>
            </w:pPr>
            <w:r>
              <w:rPr>
                <w:rFonts w:ascii="Times New Roman" w:hAnsi="Times New Roman"/>
                <w:sz w:val="17"/>
              </w:rPr>
              <w:t>7.67</w:t>
            </w:r>
          </w:p>
        </w:tc>
        <w:tc>
          <w:tcPr>
            <w:tcW w:type="dxa" w:w="1296"/>
            <w:vAlign w:val="center"/>
            <w:tcMar>
              <w:top w:w="60" w:type="dxa"/>
              <w:bottom w:w="60" w:type="dxa"/>
              <w:left w:w="60" w:type="dxa"/>
              <w:right w:w="60" w:type="dxa"/>
            </w:tcMar>
          </w:tcPr>
          <w:p>
            <w:pPr>
              <w:spacing w:before="20" w:after="20"/>
              <w:jc w:val="center"/>
            </w:pPr>
            <w:r>
              <w:rPr>
                <w:rFonts w:ascii="Times New Roman" w:hAnsi="Times New Roman"/>
                <w:sz w:val="17"/>
              </w:rPr>
              <w:t>46 / 7 / 56</w:t>
            </w:r>
          </w:p>
        </w:tc>
        <w:tc>
          <w:tcPr>
            <w:tcW w:type="dxa" w:w="1008"/>
            <w:vAlign w:val="center"/>
            <w:tcMar>
              <w:top w:w="60" w:type="dxa"/>
              <w:bottom w:w="60" w:type="dxa"/>
              <w:left w:w="60" w:type="dxa"/>
              <w:right w:w="60" w:type="dxa"/>
            </w:tcMar>
          </w:tcPr>
          <w:p>
            <w:pPr>
              <w:spacing w:before="20" w:after="20"/>
              <w:jc w:val="center"/>
            </w:pPr>
            <w:r>
              <w:rPr>
                <w:rFonts w:ascii="Times New Roman" w:hAnsi="Times New Roman"/>
                <w:sz w:val="17"/>
              </w:rPr>
              <w:t>1.000</w:t>
            </w:r>
          </w:p>
        </w:tc>
      </w:tr>
      <w:tr>
        <w:tc>
          <w:tcPr>
            <w:tcW w:type="dxa" w:w="720"/>
            <w:vAlign w:val="center"/>
            <w:tcMar>
              <w:top w:w="60" w:type="dxa"/>
              <w:bottom w:w="60" w:type="dxa"/>
              <w:left w:w="60" w:type="dxa"/>
              <w:right w:w="60" w:type="dxa"/>
            </w:tcMar>
          </w:tcPr>
          <w:p>
            <w:pPr>
              <w:spacing w:before="20" w:after="20"/>
              <w:jc w:val="center"/>
            </w:pPr>
            <w:r>
              <w:rPr>
                <w:rFonts w:ascii="Times New Roman" w:hAnsi="Times New Roman"/>
                <w:sz w:val="17"/>
              </w:rPr>
              <w:t>4</w:t>
            </w:r>
          </w:p>
        </w:tc>
        <w:tc>
          <w:tcPr>
            <w:tcW w:type="dxa" w:w="2592"/>
            <w:vAlign w:val="center"/>
            <w:tcMar>
              <w:top w:w="60" w:type="dxa"/>
              <w:bottom w:w="60" w:type="dxa"/>
              <w:left w:w="60" w:type="dxa"/>
              <w:right w:w="60" w:type="dxa"/>
            </w:tcMar>
          </w:tcPr>
          <w:p>
            <w:pPr>
              <w:spacing w:before="20" w:after="20"/>
              <w:jc w:val="left"/>
            </w:pPr>
            <w:r>
              <w:rPr>
                <w:rFonts w:ascii="Times New Roman" w:hAnsi="Times New Roman"/>
                <w:sz w:val="17"/>
              </w:rPr>
              <w:t>MultiRocket (100k)</w:t>
            </w:r>
          </w:p>
        </w:tc>
        <w:tc>
          <w:tcPr>
            <w:tcW w:type="dxa" w:w="2592"/>
            <w:vAlign w:val="center"/>
            <w:tcMar>
              <w:top w:w="60" w:type="dxa"/>
              <w:bottom w:w="60" w:type="dxa"/>
              <w:left w:w="60" w:type="dxa"/>
              <w:right w:w="60" w:type="dxa"/>
            </w:tcMar>
          </w:tcPr>
          <w:p>
            <w:pPr>
              <w:spacing w:before="20" w:after="20"/>
              <w:jc w:val="left"/>
            </w:pPr>
            <w:r>
              <w:rPr>
                <w:rFonts w:ascii="Times New Roman" w:hAnsi="Times New Roman"/>
                <w:sz w:val="17"/>
              </w:rPr>
              <w:t>Convolutional Pooling</w:t>
            </w:r>
          </w:p>
        </w:tc>
        <w:tc>
          <w:tcPr>
            <w:tcW w:type="dxa" w:w="1872"/>
            <w:vAlign w:val="center"/>
            <w:tcMar>
              <w:top w:w="60" w:type="dxa"/>
              <w:bottom w:w="60" w:type="dxa"/>
              <w:left w:w="60" w:type="dxa"/>
              <w:right w:w="60" w:type="dxa"/>
            </w:tcMar>
          </w:tcPr>
          <w:p>
            <w:pPr>
              <w:spacing w:before="20" w:after="20"/>
              <w:jc w:val="right"/>
            </w:pPr>
            <w:r>
              <w:rPr>
                <w:rFonts w:ascii="Times New Roman" w:hAnsi="Times New Roman"/>
                <w:sz w:val="17"/>
              </w:rPr>
              <w:t>0.8800 ± 0.1218</w:t>
            </w:r>
          </w:p>
        </w:tc>
        <w:tc>
          <w:tcPr>
            <w:tcW w:type="dxa" w:w="1152"/>
            <w:vAlign w:val="center"/>
            <w:tcMar>
              <w:top w:w="60" w:type="dxa"/>
              <w:bottom w:w="60" w:type="dxa"/>
              <w:left w:w="60" w:type="dxa"/>
              <w:right w:w="60" w:type="dxa"/>
            </w:tcMar>
          </w:tcPr>
          <w:p>
            <w:pPr>
              <w:spacing w:before="20" w:after="20"/>
              <w:jc w:val="center"/>
            </w:pPr>
            <w:r>
              <w:rPr>
                <w:rFonts w:ascii="Times New Roman" w:hAnsi="Times New Roman"/>
                <w:sz w:val="17"/>
              </w:rPr>
              <w:t>8.03</w:t>
            </w:r>
          </w:p>
        </w:tc>
        <w:tc>
          <w:tcPr>
            <w:tcW w:type="dxa" w:w="1296"/>
            <w:vAlign w:val="center"/>
            <w:tcMar>
              <w:top w:w="60" w:type="dxa"/>
              <w:bottom w:w="60" w:type="dxa"/>
              <w:left w:w="60" w:type="dxa"/>
              <w:right w:w="60" w:type="dxa"/>
            </w:tcMar>
          </w:tcPr>
          <w:p>
            <w:pPr>
              <w:spacing w:before="20" w:after="20"/>
              <w:jc w:val="center"/>
            </w:pPr>
            <w:r>
              <w:rPr>
                <w:rFonts w:ascii="Times New Roman" w:hAnsi="Times New Roman"/>
                <w:sz w:val="17"/>
              </w:rPr>
              <w:t>48 / 7 / 54</w:t>
            </w:r>
          </w:p>
        </w:tc>
        <w:tc>
          <w:tcPr>
            <w:tcW w:type="dxa" w:w="1008"/>
            <w:vAlign w:val="center"/>
            <w:tcMar>
              <w:top w:w="60" w:type="dxa"/>
              <w:bottom w:w="60" w:type="dxa"/>
              <w:left w:w="60" w:type="dxa"/>
              <w:right w:w="60" w:type="dxa"/>
            </w:tcMar>
          </w:tcPr>
          <w:p>
            <w:pPr>
              <w:spacing w:before="20" w:after="20"/>
              <w:jc w:val="center"/>
            </w:pPr>
            <w:r>
              <w:rPr>
                <w:rFonts w:ascii="Times New Roman" w:hAnsi="Times New Roman"/>
                <w:sz w:val="17"/>
              </w:rPr>
              <w:t>1.000</w:t>
            </w:r>
          </w:p>
        </w:tc>
      </w:tr>
      <w:tr>
        <w:tc>
          <w:tcPr>
            <w:tcW w:type="dxa" w:w="720"/>
            <w:vAlign w:val="center"/>
            <w:tcMar>
              <w:top w:w="60" w:type="dxa"/>
              <w:bottom w:w="60" w:type="dxa"/>
              <w:left w:w="60" w:type="dxa"/>
              <w:right w:w="60" w:type="dxa"/>
            </w:tcMar>
          </w:tcPr>
          <w:p>
            <w:pPr>
              <w:spacing w:before="20" w:after="20"/>
              <w:jc w:val="center"/>
            </w:pPr>
            <w:r>
              <w:rPr>
                <w:rFonts w:ascii="Times New Roman" w:hAnsi="Times New Roman"/>
                <w:sz w:val="17"/>
              </w:rPr>
              <w:t>5</w:t>
            </w:r>
          </w:p>
        </w:tc>
        <w:tc>
          <w:tcPr>
            <w:tcW w:type="dxa" w:w="2592"/>
            <w:vAlign w:val="center"/>
            <w:tcMar>
              <w:top w:w="60" w:type="dxa"/>
              <w:bottom w:w="60" w:type="dxa"/>
              <w:left w:w="60" w:type="dxa"/>
              <w:right w:w="60" w:type="dxa"/>
            </w:tcMar>
          </w:tcPr>
          <w:p>
            <w:pPr>
              <w:spacing w:before="20" w:after="20"/>
              <w:jc w:val="left"/>
            </w:pPr>
            <w:r>
              <w:rPr>
                <w:rFonts w:ascii="Times New Roman" w:hAnsi="Times New Roman"/>
                <w:sz w:val="17"/>
              </w:rPr>
              <w:t>MultiRocket (50k default)</w:t>
            </w:r>
          </w:p>
        </w:tc>
        <w:tc>
          <w:tcPr>
            <w:tcW w:type="dxa" w:w="2592"/>
            <w:vAlign w:val="center"/>
            <w:tcMar>
              <w:top w:w="60" w:type="dxa"/>
              <w:bottom w:w="60" w:type="dxa"/>
              <w:left w:w="60" w:type="dxa"/>
              <w:right w:w="60" w:type="dxa"/>
            </w:tcMar>
          </w:tcPr>
          <w:p>
            <w:pPr>
              <w:spacing w:before="20" w:after="20"/>
              <w:jc w:val="left"/>
            </w:pPr>
            <w:r>
              <w:rPr>
                <w:rFonts w:ascii="Times New Roman" w:hAnsi="Times New Roman"/>
                <w:sz w:val="17"/>
              </w:rPr>
              <w:t>Convolutional Pooling</w:t>
            </w:r>
          </w:p>
        </w:tc>
        <w:tc>
          <w:tcPr>
            <w:tcW w:type="dxa" w:w="1872"/>
            <w:vAlign w:val="center"/>
            <w:tcMar>
              <w:top w:w="60" w:type="dxa"/>
              <w:bottom w:w="60" w:type="dxa"/>
              <w:left w:w="60" w:type="dxa"/>
              <w:right w:w="60" w:type="dxa"/>
            </w:tcMar>
          </w:tcPr>
          <w:p>
            <w:pPr>
              <w:spacing w:before="20" w:after="20"/>
              <w:jc w:val="right"/>
            </w:pPr>
            <w:r>
              <w:rPr>
                <w:rFonts w:ascii="Times New Roman" w:hAnsi="Times New Roman"/>
                <w:sz w:val="17"/>
              </w:rPr>
              <w:t>0.8797 ± 0.1222</w:t>
            </w:r>
          </w:p>
        </w:tc>
        <w:tc>
          <w:tcPr>
            <w:tcW w:type="dxa" w:w="1152"/>
            <w:vAlign w:val="center"/>
            <w:tcMar>
              <w:top w:w="60" w:type="dxa"/>
              <w:bottom w:w="60" w:type="dxa"/>
              <w:left w:w="60" w:type="dxa"/>
              <w:right w:w="60" w:type="dxa"/>
            </w:tcMar>
          </w:tcPr>
          <w:p>
            <w:pPr>
              <w:spacing w:before="20" w:after="20"/>
              <w:jc w:val="center"/>
            </w:pPr>
            <w:r>
              <w:rPr>
                <w:rFonts w:ascii="Times New Roman" w:hAnsi="Times New Roman"/>
                <w:sz w:val="17"/>
              </w:rPr>
              <w:t>8.19</w:t>
            </w:r>
          </w:p>
        </w:tc>
        <w:tc>
          <w:tcPr>
            <w:tcW w:type="dxa" w:w="1296"/>
            <w:vAlign w:val="center"/>
            <w:tcMar>
              <w:top w:w="60" w:type="dxa"/>
              <w:bottom w:w="60" w:type="dxa"/>
              <w:left w:w="60" w:type="dxa"/>
              <w:right w:w="60" w:type="dxa"/>
            </w:tcMar>
          </w:tcPr>
          <w:p>
            <w:pPr>
              <w:spacing w:before="20" w:after="20"/>
              <w:jc w:val="center"/>
            </w:pPr>
            <w:r>
              <w:rPr>
                <w:rFonts w:ascii="Times New Roman" w:hAnsi="Times New Roman"/>
                <w:sz w:val="17"/>
              </w:rPr>
              <w:t>47 / 10 / 52</w:t>
            </w:r>
          </w:p>
        </w:tc>
        <w:tc>
          <w:tcPr>
            <w:tcW w:type="dxa" w:w="1008"/>
            <w:vAlign w:val="center"/>
            <w:tcMar>
              <w:top w:w="60" w:type="dxa"/>
              <w:bottom w:w="60" w:type="dxa"/>
              <w:left w:w="60" w:type="dxa"/>
              <w:right w:w="60" w:type="dxa"/>
            </w:tcMar>
          </w:tcPr>
          <w:p>
            <w:pPr>
              <w:spacing w:before="20" w:after="20"/>
              <w:jc w:val="center"/>
            </w:pPr>
            <w:r>
              <w:rPr>
                <w:rFonts w:ascii="Times New Roman" w:hAnsi="Times New Roman"/>
                <w:sz w:val="17"/>
              </w:rPr>
              <w:t>1.000</w:t>
            </w:r>
          </w:p>
        </w:tc>
      </w:tr>
      <w:tr>
        <w:tc>
          <w:tcPr>
            <w:tcW w:type="dxa" w:w="720"/>
            <w:vAlign w:val="center"/>
            <w:tcMar>
              <w:top w:w="60" w:type="dxa"/>
              <w:bottom w:w="60" w:type="dxa"/>
              <w:left w:w="60" w:type="dxa"/>
              <w:right w:w="60" w:type="dxa"/>
            </w:tcMar>
          </w:tcPr>
          <w:p>
            <w:pPr>
              <w:spacing w:before="20" w:after="20"/>
              <w:jc w:val="center"/>
            </w:pPr>
            <w:r>
              <w:rPr>
                <w:rFonts w:ascii="Times New Roman" w:hAnsi="Times New Roman"/>
                <w:sz w:val="17"/>
              </w:rPr>
              <w:t>6</w:t>
            </w:r>
          </w:p>
        </w:tc>
        <w:tc>
          <w:tcPr>
            <w:tcW w:type="dxa" w:w="2592"/>
            <w:vAlign w:val="center"/>
            <w:tcMar>
              <w:top w:w="60" w:type="dxa"/>
              <w:bottom w:w="60" w:type="dxa"/>
              <w:left w:w="60" w:type="dxa"/>
              <w:right w:w="60" w:type="dxa"/>
            </w:tcMar>
          </w:tcPr>
          <w:p>
            <w:pPr>
              <w:spacing w:before="20" w:after="20"/>
              <w:jc w:val="left"/>
            </w:pPr>
            <w:r>
              <w:rPr>
                <w:rFonts w:ascii="Times New Roman" w:hAnsi="Times New Roman"/>
                <w:sz w:val="17"/>
              </w:rPr>
              <w:t>HIVE-COTE 1.0</w:t>
            </w:r>
          </w:p>
        </w:tc>
        <w:tc>
          <w:tcPr>
            <w:tcW w:type="dxa" w:w="2592"/>
            <w:vAlign w:val="center"/>
            <w:tcMar>
              <w:top w:w="60" w:type="dxa"/>
              <w:bottom w:w="60" w:type="dxa"/>
              <w:left w:w="60" w:type="dxa"/>
              <w:right w:w="60" w:type="dxa"/>
            </w:tcMar>
          </w:tcPr>
          <w:p>
            <w:pPr>
              <w:spacing w:before="20" w:after="20"/>
              <w:jc w:val="left"/>
            </w:pPr>
            <w:r>
              <w:rPr>
                <w:rFonts w:ascii="Times New Roman" w:hAnsi="Times New Roman"/>
                <w:sz w:val="17"/>
              </w:rPr>
              <w:t>Hierarchical Meta-Ensemble</w:t>
            </w:r>
          </w:p>
        </w:tc>
        <w:tc>
          <w:tcPr>
            <w:tcW w:type="dxa" w:w="1872"/>
            <w:vAlign w:val="center"/>
            <w:tcMar>
              <w:top w:w="60" w:type="dxa"/>
              <w:bottom w:w="60" w:type="dxa"/>
              <w:left w:w="60" w:type="dxa"/>
              <w:right w:w="60" w:type="dxa"/>
            </w:tcMar>
          </w:tcPr>
          <w:p>
            <w:pPr>
              <w:spacing w:before="20" w:after="20"/>
              <w:jc w:val="right"/>
            </w:pPr>
            <w:r>
              <w:rPr>
                <w:rFonts w:ascii="Times New Roman" w:hAnsi="Times New Roman"/>
                <w:sz w:val="17"/>
              </w:rPr>
              <w:t>0.8786 ± 0.1228</w:t>
            </w:r>
          </w:p>
        </w:tc>
        <w:tc>
          <w:tcPr>
            <w:tcW w:type="dxa" w:w="1152"/>
            <w:vAlign w:val="center"/>
            <w:tcMar>
              <w:top w:w="60" w:type="dxa"/>
              <w:bottom w:w="60" w:type="dxa"/>
              <w:left w:w="60" w:type="dxa"/>
              <w:right w:w="60" w:type="dxa"/>
            </w:tcMar>
          </w:tcPr>
          <w:p>
            <w:pPr>
              <w:spacing w:before="20" w:after="20"/>
              <w:jc w:val="center"/>
            </w:pPr>
            <w:r>
              <w:rPr>
                <w:rFonts w:ascii="Times New Roman" w:hAnsi="Times New Roman"/>
                <w:sz w:val="17"/>
              </w:rPr>
              <w:t>10.80</w:t>
            </w:r>
          </w:p>
        </w:tc>
        <w:tc>
          <w:tcPr>
            <w:tcW w:type="dxa" w:w="1296"/>
            <w:vAlign w:val="center"/>
            <w:tcMar>
              <w:top w:w="60" w:type="dxa"/>
              <w:bottom w:w="60" w:type="dxa"/>
              <w:left w:w="60" w:type="dxa"/>
              <w:right w:w="60" w:type="dxa"/>
            </w:tcMar>
          </w:tcPr>
          <w:p>
            <w:pPr>
              <w:spacing w:before="20" w:after="20"/>
              <w:jc w:val="center"/>
            </w:pPr>
            <w:r>
              <w:rPr>
                <w:rFonts w:ascii="Times New Roman" w:hAnsi="Times New Roman"/>
                <w:sz w:val="17"/>
              </w:rPr>
              <w:t>59 / 7 / 43</w:t>
            </w:r>
          </w:p>
        </w:tc>
        <w:tc>
          <w:tcPr>
            <w:tcW w:type="dxa" w:w="1008"/>
            <w:vAlign w:val="center"/>
            <w:tcMar>
              <w:top w:w="60" w:type="dxa"/>
              <w:bottom w:w="60" w:type="dxa"/>
              <w:left w:w="60" w:type="dxa"/>
              <w:right w:w="60" w:type="dxa"/>
            </w:tcMar>
          </w:tcPr>
          <w:p>
            <w:pPr>
              <w:spacing w:before="20" w:after="20"/>
              <w:jc w:val="center"/>
            </w:pPr>
            <w:r>
              <w:rPr>
                <w:rFonts w:ascii="Times New Roman" w:hAnsi="Times New Roman"/>
                <w:sz w:val="17"/>
              </w:rPr>
              <w:t>0.048</w:t>
            </w:r>
          </w:p>
        </w:tc>
      </w:tr>
      <w:tr>
        <w:tc>
          <w:tcPr>
            <w:tcW w:type="dxa" w:w="720"/>
            <w:vAlign w:val="center"/>
            <w:tcMar>
              <w:top w:w="60" w:type="dxa"/>
              <w:bottom w:w="60" w:type="dxa"/>
              <w:left w:w="60" w:type="dxa"/>
              <w:right w:w="60" w:type="dxa"/>
            </w:tcMar>
          </w:tcPr>
          <w:p>
            <w:pPr>
              <w:spacing w:before="20" w:after="20"/>
              <w:jc w:val="center"/>
            </w:pPr>
            <w:r>
              <w:rPr>
                <w:rFonts w:ascii="Times New Roman" w:hAnsi="Times New Roman"/>
                <w:sz w:val="17"/>
              </w:rPr>
              <w:t>7</w:t>
            </w:r>
          </w:p>
        </w:tc>
        <w:tc>
          <w:tcPr>
            <w:tcW w:type="dxa" w:w="2592"/>
            <w:vAlign w:val="center"/>
            <w:tcMar>
              <w:top w:w="60" w:type="dxa"/>
              <w:bottom w:w="60" w:type="dxa"/>
              <w:left w:w="60" w:type="dxa"/>
              <w:right w:w="60" w:type="dxa"/>
            </w:tcMar>
          </w:tcPr>
          <w:p>
            <w:pPr>
              <w:spacing w:before="20" w:after="20"/>
              <w:jc w:val="left"/>
            </w:pPr>
            <w:r>
              <w:rPr>
                <w:rFonts w:ascii="Times New Roman" w:hAnsi="Times New Roman"/>
                <w:sz w:val="17"/>
              </w:rPr>
              <w:t>TS-CHIEF</w:t>
            </w:r>
          </w:p>
        </w:tc>
        <w:tc>
          <w:tcPr>
            <w:tcW w:type="dxa" w:w="2592"/>
            <w:vAlign w:val="center"/>
            <w:tcMar>
              <w:top w:w="60" w:type="dxa"/>
              <w:bottom w:w="60" w:type="dxa"/>
              <w:left w:w="60" w:type="dxa"/>
              <w:right w:w="60" w:type="dxa"/>
            </w:tcMar>
          </w:tcPr>
          <w:p>
            <w:pPr>
              <w:spacing w:before="20" w:after="20"/>
              <w:jc w:val="left"/>
            </w:pPr>
            <w:r>
              <w:rPr>
                <w:rFonts w:ascii="Times New Roman" w:hAnsi="Times New Roman"/>
                <w:sz w:val="17"/>
              </w:rPr>
              <w:t>Metric / Tree Ensemble</w:t>
            </w:r>
          </w:p>
        </w:tc>
        <w:tc>
          <w:tcPr>
            <w:tcW w:type="dxa" w:w="1872"/>
            <w:vAlign w:val="center"/>
            <w:tcMar>
              <w:top w:w="60" w:type="dxa"/>
              <w:bottom w:w="60" w:type="dxa"/>
              <w:left w:w="60" w:type="dxa"/>
              <w:right w:w="60" w:type="dxa"/>
            </w:tcMar>
          </w:tcPr>
          <w:p>
            <w:pPr>
              <w:spacing w:before="20" w:after="20"/>
              <w:jc w:val="right"/>
            </w:pPr>
            <w:r>
              <w:rPr>
                <w:rFonts w:ascii="Times New Roman" w:hAnsi="Times New Roman"/>
                <w:sz w:val="17"/>
              </w:rPr>
              <w:t>0.8761 ± 0.1281</w:t>
            </w:r>
          </w:p>
        </w:tc>
        <w:tc>
          <w:tcPr>
            <w:tcW w:type="dxa" w:w="1152"/>
            <w:vAlign w:val="center"/>
            <w:tcMar>
              <w:top w:w="60" w:type="dxa"/>
              <w:bottom w:w="60" w:type="dxa"/>
              <w:left w:w="60" w:type="dxa"/>
              <w:right w:w="60" w:type="dxa"/>
            </w:tcMar>
          </w:tcPr>
          <w:p>
            <w:pPr>
              <w:spacing w:before="20" w:after="20"/>
              <w:jc w:val="center"/>
            </w:pPr>
            <w:r>
              <w:rPr>
                <w:rFonts w:ascii="Times New Roman" w:hAnsi="Times New Roman"/>
                <w:sz w:val="17"/>
              </w:rPr>
              <w:t>10.52</w:t>
            </w:r>
          </w:p>
        </w:tc>
        <w:tc>
          <w:tcPr>
            <w:tcW w:type="dxa" w:w="1296"/>
            <w:vAlign w:val="center"/>
            <w:tcMar>
              <w:top w:w="60" w:type="dxa"/>
              <w:bottom w:w="60" w:type="dxa"/>
              <w:left w:w="60" w:type="dxa"/>
              <w:right w:w="60" w:type="dxa"/>
            </w:tcMar>
          </w:tcPr>
          <w:p>
            <w:pPr>
              <w:spacing w:before="20" w:after="20"/>
              <w:jc w:val="center"/>
            </w:pPr>
            <w:r>
              <w:rPr>
                <w:rFonts w:ascii="Times New Roman" w:hAnsi="Times New Roman"/>
                <w:sz w:val="17"/>
              </w:rPr>
              <w:t>61 / 7 / 41</w:t>
            </w:r>
          </w:p>
        </w:tc>
        <w:tc>
          <w:tcPr>
            <w:tcW w:type="dxa" w:w="1008"/>
            <w:vAlign w:val="center"/>
            <w:tcMar>
              <w:top w:w="60" w:type="dxa"/>
              <w:bottom w:w="60" w:type="dxa"/>
              <w:left w:w="60" w:type="dxa"/>
              <w:right w:w="60" w:type="dxa"/>
            </w:tcMar>
          </w:tcPr>
          <w:p>
            <w:pPr>
              <w:spacing w:before="20" w:after="20"/>
              <w:jc w:val="center"/>
            </w:pPr>
            <w:r>
              <w:rPr>
                <w:rFonts w:ascii="Times New Roman" w:hAnsi="Times New Roman"/>
                <w:sz w:val="17"/>
              </w:rPr>
              <w:t>0.035</w:t>
            </w:r>
          </w:p>
        </w:tc>
      </w:tr>
      <w:tr>
        <w:tc>
          <w:tcPr>
            <w:tcW w:type="dxa" w:w="720"/>
            <w:vAlign w:val="center"/>
            <w:tcMar>
              <w:top w:w="60" w:type="dxa"/>
              <w:bottom w:w="60" w:type="dxa"/>
              <w:left w:w="60" w:type="dxa"/>
              <w:right w:w="60" w:type="dxa"/>
            </w:tcMar>
          </w:tcPr>
          <w:p>
            <w:pPr>
              <w:spacing w:before="20" w:after="20"/>
              <w:jc w:val="center"/>
            </w:pPr>
            <w:r>
              <w:rPr>
                <w:rFonts w:ascii="Times New Roman" w:hAnsi="Times New Roman"/>
                <w:sz w:val="17"/>
              </w:rPr>
              <w:t>8</w:t>
            </w:r>
          </w:p>
        </w:tc>
        <w:tc>
          <w:tcPr>
            <w:tcW w:type="dxa" w:w="2592"/>
            <w:vAlign w:val="center"/>
            <w:tcMar>
              <w:top w:w="60" w:type="dxa"/>
              <w:bottom w:w="60" w:type="dxa"/>
              <w:left w:w="60" w:type="dxa"/>
              <w:right w:w="60" w:type="dxa"/>
            </w:tcMar>
          </w:tcPr>
          <w:p>
            <w:pPr>
              <w:spacing w:before="20" w:after="20"/>
              <w:jc w:val="left"/>
            </w:pPr>
            <w:r>
              <w:rPr>
                <w:rFonts w:ascii="Times New Roman" w:hAnsi="Times New Roman"/>
                <w:sz w:val="17"/>
              </w:rPr>
              <w:t>MultiRocket (10k)</w:t>
            </w:r>
          </w:p>
        </w:tc>
        <w:tc>
          <w:tcPr>
            <w:tcW w:type="dxa" w:w="2592"/>
            <w:vAlign w:val="center"/>
            <w:tcMar>
              <w:top w:w="60" w:type="dxa"/>
              <w:bottom w:w="60" w:type="dxa"/>
              <w:left w:w="60" w:type="dxa"/>
              <w:right w:w="60" w:type="dxa"/>
            </w:tcMar>
          </w:tcPr>
          <w:p>
            <w:pPr>
              <w:spacing w:before="20" w:after="20"/>
              <w:jc w:val="left"/>
            </w:pPr>
            <w:r>
              <w:rPr>
                <w:rFonts w:ascii="Times New Roman" w:hAnsi="Times New Roman"/>
                <w:sz w:val="17"/>
              </w:rPr>
              <w:t>Convolutional Pooling</w:t>
            </w:r>
          </w:p>
        </w:tc>
        <w:tc>
          <w:tcPr>
            <w:tcW w:type="dxa" w:w="1872"/>
            <w:vAlign w:val="center"/>
            <w:tcMar>
              <w:top w:w="60" w:type="dxa"/>
              <w:bottom w:w="60" w:type="dxa"/>
              <w:left w:w="60" w:type="dxa"/>
              <w:right w:w="60" w:type="dxa"/>
            </w:tcMar>
          </w:tcPr>
          <w:p>
            <w:pPr>
              <w:spacing w:before="20" w:after="20"/>
              <w:jc w:val="right"/>
            </w:pPr>
            <w:r>
              <w:rPr>
                <w:rFonts w:ascii="Times New Roman" w:hAnsi="Times New Roman"/>
                <w:sz w:val="17"/>
              </w:rPr>
              <w:t>0.8749 ± 0.1254</w:t>
            </w:r>
          </w:p>
        </w:tc>
        <w:tc>
          <w:tcPr>
            <w:tcW w:type="dxa" w:w="1152"/>
            <w:vAlign w:val="center"/>
            <w:tcMar>
              <w:top w:w="60" w:type="dxa"/>
              <w:bottom w:w="60" w:type="dxa"/>
              <w:left w:w="60" w:type="dxa"/>
              <w:right w:w="60" w:type="dxa"/>
            </w:tcMar>
          </w:tcPr>
          <w:p>
            <w:pPr>
              <w:spacing w:before="20" w:after="20"/>
              <w:jc w:val="center"/>
            </w:pPr>
            <w:r>
              <w:rPr>
                <w:rFonts w:ascii="Times New Roman" w:hAnsi="Times New Roman"/>
                <w:sz w:val="17"/>
              </w:rPr>
              <w:t>9.83</w:t>
            </w:r>
          </w:p>
        </w:tc>
        <w:tc>
          <w:tcPr>
            <w:tcW w:type="dxa" w:w="1296"/>
            <w:vAlign w:val="center"/>
            <w:tcMar>
              <w:top w:w="60" w:type="dxa"/>
              <w:bottom w:w="60" w:type="dxa"/>
              <w:left w:w="60" w:type="dxa"/>
              <w:right w:w="60" w:type="dxa"/>
            </w:tcMar>
          </w:tcPr>
          <w:p>
            <w:pPr>
              <w:spacing w:before="20" w:after="20"/>
              <w:jc w:val="center"/>
            </w:pPr>
            <w:r>
              <w:rPr>
                <w:rFonts w:ascii="Times New Roman" w:hAnsi="Times New Roman"/>
                <w:sz w:val="17"/>
              </w:rPr>
              <w:t>59 / 6 / 44</w:t>
            </w:r>
          </w:p>
        </w:tc>
        <w:tc>
          <w:tcPr>
            <w:tcW w:type="dxa" w:w="1008"/>
            <w:vAlign w:val="center"/>
            <w:tcMar>
              <w:top w:w="60" w:type="dxa"/>
              <w:bottom w:w="60" w:type="dxa"/>
              <w:left w:w="60" w:type="dxa"/>
              <w:right w:w="60" w:type="dxa"/>
            </w:tcMar>
          </w:tcPr>
          <w:p>
            <w:pPr>
              <w:spacing w:before="20" w:after="20"/>
              <w:jc w:val="center"/>
            </w:pPr>
            <w:r>
              <w:rPr>
                <w:rFonts w:ascii="Times New Roman" w:hAnsi="Times New Roman"/>
                <w:sz w:val="17"/>
              </w:rPr>
              <w:t>0.014</w:t>
            </w:r>
          </w:p>
        </w:tc>
      </w:tr>
      <w:tr>
        <w:tc>
          <w:tcPr>
            <w:tcW w:type="dxa" w:w="720"/>
            <w:vAlign w:val="center"/>
            <w:tcMar>
              <w:top w:w="60" w:type="dxa"/>
              <w:bottom w:w="60" w:type="dxa"/>
              <w:left w:w="60" w:type="dxa"/>
              <w:right w:w="60" w:type="dxa"/>
            </w:tcMar>
          </w:tcPr>
          <w:p>
            <w:pPr>
              <w:spacing w:before="20" w:after="20"/>
              <w:jc w:val="center"/>
            </w:pPr>
            <w:r>
              <w:rPr>
                <w:rFonts w:ascii="Times New Roman" w:hAnsi="Times New Roman"/>
                <w:sz w:val="17"/>
              </w:rPr>
              <w:t>9</w:t>
            </w:r>
          </w:p>
        </w:tc>
        <w:tc>
          <w:tcPr>
            <w:tcW w:type="dxa" w:w="2592"/>
            <w:vAlign w:val="center"/>
            <w:tcMar>
              <w:top w:w="60" w:type="dxa"/>
              <w:bottom w:w="60" w:type="dxa"/>
              <w:left w:w="60" w:type="dxa"/>
              <w:right w:w="60" w:type="dxa"/>
            </w:tcMar>
          </w:tcPr>
          <w:p>
            <w:pPr>
              <w:spacing w:before="20" w:after="20"/>
              <w:jc w:val="left"/>
            </w:pPr>
            <w:r>
              <w:rPr>
                <w:rFonts w:ascii="Times New Roman" w:hAnsi="Times New Roman"/>
                <w:sz w:val="17"/>
              </w:rPr>
              <w:t>MiniRocket</w:t>
            </w:r>
          </w:p>
        </w:tc>
        <w:tc>
          <w:tcPr>
            <w:tcW w:type="dxa" w:w="2592"/>
            <w:vAlign w:val="center"/>
            <w:tcMar>
              <w:top w:w="60" w:type="dxa"/>
              <w:bottom w:w="60" w:type="dxa"/>
              <w:left w:w="60" w:type="dxa"/>
              <w:right w:w="60" w:type="dxa"/>
            </w:tcMar>
          </w:tcPr>
          <w:p>
            <w:pPr>
              <w:spacing w:before="20" w:after="20"/>
              <w:jc w:val="left"/>
            </w:pPr>
            <w:r>
              <w:rPr>
                <w:rFonts w:ascii="Times New Roman" w:hAnsi="Times New Roman"/>
                <w:sz w:val="17"/>
              </w:rPr>
              <w:t>Convolutional Transform</w:t>
            </w:r>
          </w:p>
        </w:tc>
        <w:tc>
          <w:tcPr>
            <w:tcW w:type="dxa" w:w="1872"/>
            <w:vAlign w:val="center"/>
            <w:tcMar>
              <w:top w:w="60" w:type="dxa"/>
              <w:bottom w:w="60" w:type="dxa"/>
              <w:left w:w="60" w:type="dxa"/>
              <w:right w:w="60" w:type="dxa"/>
            </w:tcMar>
          </w:tcPr>
          <w:p>
            <w:pPr>
              <w:spacing w:before="20" w:after="20"/>
              <w:jc w:val="right"/>
            </w:pPr>
            <w:r>
              <w:rPr>
                <w:rFonts w:ascii="Times New Roman" w:hAnsi="Times New Roman"/>
                <w:sz w:val="17"/>
              </w:rPr>
              <w:t>0.8724 ± 0.1300</w:t>
            </w:r>
          </w:p>
        </w:tc>
        <w:tc>
          <w:tcPr>
            <w:tcW w:type="dxa" w:w="1152"/>
            <w:vAlign w:val="center"/>
            <w:tcMar>
              <w:top w:w="60" w:type="dxa"/>
              <w:bottom w:w="60" w:type="dxa"/>
              <w:left w:w="60" w:type="dxa"/>
              <w:right w:w="60" w:type="dxa"/>
            </w:tcMar>
          </w:tcPr>
          <w:p>
            <w:pPr>
              <w:spacing w:before="20" w:after="20"/>
              <w:jc w:val="center"/>
            </w:pPr>
            <w:r>
              <w:rPr>
                <w:rFonts w:ascii="Times New Roman" w:hAnsi="Times New Roman"/>
                <w:sz w:val="17"/>
              </w:rPr>
              <w:t>11.40</w:t>
            </w:r>
          </w:p>
        </w:tc>
        <w:tc>
          <w:tcPr>
            <w:tcW w:type="dxa" w:w="1296"/>
            <w:vAlign w:val="center"/>
            <w:tcMar>
              <w:top w:w="60" w:type="dxa"/>
              <w:bottom w:w="60" w:type="dxa"/>
              <w:left w:w="60" w:type="dxa"/>
              <w:right w:w="60" w:type="dxa"/>
            </w:tcMar>
          </w:tcPr>
          <w:p>
            <w:pPr>
              <w:spacing w:before="20" w:after="20"/>
              <w:jc w:val="center"/>
            </w:pPr>
            <w:r>
              <w:rPr>
                <w:rFonts w:ascii="Times New Roman" w:hAnsi="Times New Roman"/>
                <w:sz w:val="17"/>
              </w:rPr>
              <w:t>72 / 6 / 31</w:t>
            </w:r>
          </w:p>
        </w:tc>
        <w:tc>
          <w:tcPr>
            <w:tcW w:type="dxa" w:w="1008"/>
            <w:vAlign w:val="center"/>
            <w:tcMar>
              <w:top w:w="60" w:type="dxa"/>
              <w:bottom w:w="60" w:type="dxa"/>
              <w:left w:w="60" w:type="dxa"/>
              <w:right w:w="60" w:type="dxa"/>
            </w:tcMar>
          </w:tcPr>
          <w:p>
            <w:pPr>
              <w:spacing w:before="20" w:after="20"/>
              <w:jc w:val="center"/>
            </w:pPr>
            <w:r>
              <w:rPr>
                <w:rFonts w:ascii="Times New Roman" w:hAnsi="Times New Roman"/>
                <w:sz w:val="17"/>
              </w:rPr>
              <w:t>&lt; 0.001</w:t>
            </w:r>
          </w:p>
        </w:tc>
      </w:tr>
      <w:tr>
        <w:tc>
          <w:tcPr>
            <w:tcW w:type="dxa" w:w="720"/>
            <w:vAlign w:val="center"/>
            <w:tcMar>
              <w:top w:w="60" w:type="dxa"/>
              <w:bottom w:w="60" w:type="dxa"/>
              <w:left w:w="60" w:type="dxa"/>
              <w:right w:w="60" w:type="dxa"/>
            </w:tcMar>
          </w:tcPr>
          <w:p>
            <w:pPr>
              <w:spacing w:before="20" w:after="20"/>
              <w:jc w:val="center"/>
            </w:pPr>
            <w:r>
              <w:rPr>
                <w:rFonts w:ascii="Times New Roman" w:hAnsi="Times New Roman"/>
                <w:sz w:val="17"/>
              </w:rPr>
              <w:t>10</w:t>
            </w:r>
          </w:p>
        </w:tc>
        <w:tc>
          <w:tcPr>
            <w:tcW w:type="dxa" w:w="2592"/>
            <w:vAlign w:val="center"/>
            <w:tcMar>
              <w:top w:w="60" w:type="dxa"/>
              <w:bottom w:w="60" w:type="dxa"/>
              <w:left w:w="60" w:type="dxa"/>
              <w:right w:w="60" w:type="dxa"/>
            </w:tcMar>
          </w:tcPr>
          <w:p>
            <w:pPr>
              <w:spacing w:before="20" w:after="20"/>
              <w:jc w:val="left"/>
            </w:pPr>
            <w:r>
              <w:rPr>
                <w:rFonts w:ascii="Times New Roman" w:hAnsi="Times New Roman"/>
                <w:sz w:val="17"/>
              </w:rPr>
              <w:t>InceptionTime</w:t>
            </w:r>
          </w:p>
        </w:tc>
        <w:tc>
          <w:tcPr>
            <w:tcW w:type="dxa" w:w="2592"/>
            <w:vAlign w:val="center"/>
            <w:tcMar>
              <w:top w:w="60" w:type="dxa"/>
              <w:bottom w:w="60" w:type="dxa"/>
              <w:left w:w="60" w:type="dxa"/>
              <w:right w:w="60" w:type="dxa"/>
            </w:tcMar>
          </w:tcPr>
          <w:p>
            <w:pPr>
              <w:spacing w:before="20" w:after="20"/>
              <w:jc w:val="left"/>
            </w:pPr>
            <w:r>
              <w:rPr>
                <w:rFonts w:ascii="Times New Roman" w:hAnsi="Times New Roman"/>
                <w:sz w:val="17"/>
              </w:rPr>
              <w:t>Deep ConvNet Ensemble</w:t>
            </w:r>
          </w:p>
        </w:tc>
        <w:tc>
          <w:tcPr>
            <w:tcW w:type="dxa" w:w="1872"/>
            <w:vAlign w:val="center"/>
            <w:tcMar>
              <w:top w:w="60" w:type="dxa"/>
              <w:bottom w:w="60" w:type="dxa"/>
              <w:left w:w="60" w:type="dxa"/>
              <w:right w:w="60" w:type="dxa"/>
            </w:tcMar>
          </w:tcPr>
          <w:p>
            <w:pPr>
              <w:spacing w:before="20" w:after="20"/>
              <w:jc w:val="right"/>
            </w:pPr>
            <w:r>
              <w:rPr>
                <w:rFonts w:ascii="Times New Roman" w:hAnsi="Times New Roman"/>
                <w:sz w:val="17"/>
              </w:rPr>
              <w:t>0.8721 ± 0.1285</w:t>
            </w:r>
          </w:p>
        </w:tc>
        <w:tc>
          <w:tcPr>
            <w:tcW w:type="dxa" w:w="1152"/>
            <w:vAlign w:val="center"/>
            <w:tcMar>
              <w:top w:w="60" w:type="dxa"/>
              <w:bottom w:w="60" w:type="dxa"/>
              <w:left w:w="60" w:type="dxa"/>
              <w:right w:w="60" w:type="dxa"/>
            </w:tcMar>
          </w:tcPr>
          <w:p>
            <w:pPr>
              <w:spacing w:before="20" w:after="20"/>
              <w:jc w:val="center"/>
            </w:pPr>
            <w:r>
              <w:rPr>
                <w:rFonts w:ascii="Times New Roman" w:hAnsi="Times New Roman"/>
                <w:sz w:val="17"/>
              </w:rPr>
              <w:t>11.95</w:t>
            </w:r>
          </w:p>
        </w:tc>
        <w:tc>
          <w:tcPr>
            <w:tcW w:type="dxa" w:w="1296"/>
            <w:vAlign w:val="center"/>
            <w:tcMar>
              <w:top w:w="60" w:type="dxa"/>
              <w:bottom w:w="60" w:type="dxa"/>
              <w:left w:w="60" w:type="dxa"/>
              <w:right w:w="60" w:type="dxa"/>
            </w:tcMar>
          </w:tcPr>
          <w:p>
            <w:pPr>
              <w:spacing w:before="20" w:after="20"/>
              <w:jc w:val="center"/>
            </w:pPr>
            <w:r>
              <w:rPr>
                <w:rFonts w:ascii="Times New Roman" w:hAnsi="Times New Roman"/>
                <w:sz w:val="17"/>
              </w:rPr>
              <w:t>67 / 5 / 37</w:t>
            </w:r>
          </w:p>
        </w:tc>
        <w:tc>
          <w:tcPr>
            <w:tcW w:type="dxa" w:w="1008"/>
            <w:vAlign w:val="center"/>
            <w:tcMar>
              <w:top w:w="60" w:type="dxa"/>
              <w:bottom w:w="60" w:type="dxa"/>
              <w:left w:w="60" w:type="dxa"/>
              <w:right w:w="60" w:type="dxa"/>
            </w:tcMar>
          </w:tcPr>
          <w:p>
            <w:pPr>
              <w:spacing w:before="20" w:after="20"/>
              <w:jc w:val="center"/>
            </w:pPr>
            <w:r>
              <w:rPr>
                <w:rFonts w:ascii="Times New Roman" w:hAnsi="Times New Roman"/>
                <w:sz w:val="17"/>
              </w:rPr>
              <w:t>0.050</w:t>
            </w:r>
          </w:p>
        </w:tc>
      </w:tr>
      <w:tr>
        <w:tc>
          <w:tcPr>
            <w:tcW w:type="dxa" w:w="720"/>
            <w:vAlign w:val="center"/>
            <w:tcMar>
              <w:top w:w="60" w:type="dxa"/>
              <w:bottom w:w="60" w:type="dxa"/>
              <w:left w:w="60" w:type="dxa"/>
              <w:right w:w="60" w:type="dxa"/>
            </w:tcMar>
          </w:tcPr>
          <w:p>
            <w:pPr>
              <w:spacing w:before="20" w:after="20"/>
              <w:jc w:val="center"/>
            </w:pPr>
            <w:r>
              <w:rPr>
                <w:rFonts w:ascii="Times New Roman" w:hAnsi="Times New Roman"/>
                <w:sz w:val="17"/>
              </w:rPr>
              <w:t>11</w:t>
            </w:r>
          </w:p>
        </w:tc>
        <w:tc>
          <w:tcPr>
            <w:tcW w:type="dxa" w:w="2592"/>
            <w:vAlign w:val="center"/>
            <w:tcMar>
              <w:top w:w="60" w:type="dxa"/>
              <w:bottom w:w="60" w:type="dxa"/>
              <w:left w:w="60" w:type="dxa"/>
              <w:right w:w="60" w:type="dxa"/>
            </w:tcMar>
          </w:tcPr>
          <w:p>
            <w:pPr>
              <w:spacing w:before="20" w:after="20"/>
              <w:jc w:val="left"/>
            </w:pPr>
            <w:r>
              <w:rPr>
                <w:rFonts w:ascii="Times New Roman" w:hAnsi="Times New Roman"/>
                <w:sz w:val="17"/>
              </w:rPr>
              <w:t>Hydra</w:t>
            </w:r>
          </w:p>
        </w:tc>
        <w:tc>
          <w:tcPr>
            <w:tcW w:type="dxa" w:w="2592"/>
            <w:vAlign w:val="center"/>
            <w:tcMar>
              <w:top w:w="60" w:type="dxa"/>
              <w:bottom w:w="60" w:type="dxa"/>
              <w:left w:w="60" w:type="dxa"/>
              <w:right w:w="60" w:type="dxa"/>
            </w:tcMar>
          </w:tcPr>
          <w:p>
            <w:pPr>
              <w:spacing w:before="20" w:after="20"/>
              <w:jc w:val="left"/>
            </w:pPr>
            <w:r>
              <w:rPr>
                <w:rFonts w:ascii="Times New Roman" w:hAnsi="Times New Roman"/>
                <w:sz w:val="17"/>
              </w:rPr>
              <w:t>Competing Dilated Kernels</w:t>
            </w:r>
          </w:p>
        </w:tc>
        <w:tc>
          <w:tcPr>
            <w:tcW w:type="dxa" w:w="1872"/>
            <w:vAlign w:val="center"/>
            <w:tcMar>
              <w:top w:w="60" w:type="dxa"/>
              <w:bottom w:w="60" w:type="dxa"/>
              <w:left w:w="60" w:type="dxa"/>
              <w:right w:w="60" w:type="dxa"/>
            </w:tcMar>
          </w:tcPr>
          <w:p>
            <w:pPr>
              <w:spacing w:before="20" w:after="20"/>
              <w:jc w:val="right"/>
            </w:pPr>
            <w:r>
              <w:rPr>
                <w:rFonts w:ascii="Times New Roman" w:hAnsi="Times New Roman"/>
                <w:sz w:val="17"/>
              </w:rPr>
              <w:t>0.8714 ± 0.1319</w:t>
            </w:r>
          </w:p>
        </w:tc>
        <w:tc>
          <w:tcPr>
            <w:tcW w:type="dxa" w:w="1152"/>
            <w:vAlign w:val="center"/>
            <w:tcMar>
              <w:top w:w="60" w:type="dxa"/>
              <w:bottom w:w="60" w:type="dxa"/>
              <w:left w:w="60" w:type="dxa"/>
              <w:right w:w="60" w:type="dxa"/>
            </w:tcMar>
          </w:tcPr>
          <w:p>
            <w:pPr>
              <w:spacing w:before="20" w:after="20"/>
              <w:jc w:val="center"/>
            </w:pPr>
            <w:r>
              <w:rPr>
                <w:rFonts w:ascii="Times New Roman" w:hAnsi="Times New Roman"/>
                <w:sz w:val="17"/>
              </w:rPr>
              <w:t>10.45</w:t>
            </w:r>
          </w:p>
        </w:tc>
        <w:tc>
          <w:tcPr>
            <w:tcW w:type="dxa" w:w="1296"/>
            <w:vAlign w:val="center"/>
            <w:tcMar>
              <w:top w:w="60" w:type="dxa"/>
              <w:bottom w:w="60" w:type="dxa"/>
              <w:left w:w="60" w:type="dxa"/>
              <w:right w:w="60" w:type="dxa"/>
            </w:tcMar>
          </w:tcPr>
          <w:p>
            <w:pPr>
              <w:spacing w:before="20" w:after="20"/>
              <w:jc w:val="center"/>
            </w:pPr>
            <w:r>
              <w:rPr>
                <w:rFonts w:ascii="Times New Roman" w:hAnsi="Times New Roman"/>
                <w:sz w:val="17"/>
              </w:rPr>
              <w:t>66 / 5 / 38</w:t>
            </w:r>
          </w:p>
        </w:tc>
        <w:tc>
          <w:tcPr>
            <w:tcW w:type="dxa" w:w="1008"/>
            <w:vAlign w:val="center"/>
            <w:tcMar>
              <w:top w:w="60" w:type="dxa"/>
              <w:bottom w:w="60" w:type="dxa"/>
              <w:left w:w="60" w:type="dxa"/>
              <w:right w:w="60" w:type="dxa"/>
            </w:tcMar>
          </w:tcPr>
          <w:p>
            <w:pPr>
              <w:spacing w:before="20" w:after="20"/>
              <w:jc w:val="center"/>
            </w:pPr>
            <w:r>
              <w:rPr>
                <w:rFonts w:ascii="Times New Roman" w:hAnsi="Times New Roman"/>
                <w:sz w:val="17"/>
              </w:rPr>
              <w:t>0.005</w:t>
            </w:r>
          </w:p>
        </w:tc>
      </w:tr>
      <w:tr>
        <w:tc>
          <w:tcPr>
            <w:tcW w:type="dxa" w:w="720"/>
            <w:vAlign w:val="center"/>
            <w:tcMar>
              <w:top w:w="60" w:type="dxa"/>
              <w:bottom w:w="60" w:type="dxa"/>
              <w:left w:w="60" w:type="dxa"/>
              <w:right w:w="60" w:type="dxa"/>
            </w:tcMar>
          </w:tcPr>
          <w:p>
            <w:pPr>
              <w:spacing w:before="20" w:after="20"/>
              <w:jc w:val="center"/>
            </w:pPr>
            <w:r>
              <w:rPr>
                <w:rFonts w:ascii="Times New Roman" w:hAnsi="Times New Roman"/>
                <w:sz w:val="17"/>
              </w:rPr>
              <w:t>12-26</w:t>
            </w:r>
          </w:p>
        </w:tc>
        <w:tc>
          <w:tcPr>
            <w:tcW w:type="dxa" w:w="2592"/>
            <w:vAlign w:val="center"/>
            <w:tcMar>
              <w:top w:w="60" w:type="dxa"/>
              <w:bottom w:w="60" w:type="dxa"/>
              <w:left w:w="60" w:type="dxa"/>
              <w:right w:w="60" w:type="dxa"/>
            </w:tcMar>
          </w:tcPr>
          <w:p>
            <w:pPr>
              <w:spacing w:before="20" w:after="20"/>
              <w:jc w:val="left"/>
            </w:pPr>
            <w:r>
              <w:rPr>
                <w:rFonts w:ascii="Times New Roman" w:hAnsi="Times New Roman"/>
                <w:sz w:val="17"/>
              </w:rPr>
              <w:t>ROCKET, Arsenal, DrCIF, TDE, STC, CIF, WEASEL, etc.</w:t>
            </w:r>
          </w:p>
        </w:tc>
        <w:tc>
          <w:tcPr>
            <w:tcW w:type="dxa" w:w="2592"/>
            <w:vAlign w:val="center"/>
            <w:tcMar>
              <w:top w:w="60" w:type="dxa"/>
              <w:bottom w:w="60" w:type="dxa"/>
              <w:left w:w="60" w:type="dxa"/>
              <w:right w:w="60" w:type="dxa"/>
            </w:tcMar>
          </w:tcPr>
          <w:p>
            <w:pPr>
              <w:spacing w:before="20" w:after="20"/>
              <w:jc w:val="left"/>
            </w:pPr>
            <w:r>
              <w:rPr>
                <w:rFonts w:ascii="Times New Roman" w:hAnsi="Times New Roman"/>
                <w:sz w:val="17"/>
              </w:rPr>
              <w:t>Classical &amp; Interval Baselines</w:t>
            </w:r>
          </w:p>
        </w:tc>
        <w:tc>
          <w:tcPr>
            <w:tcW w:type="dxa" w:w="1872"/>
            <w:vAlign w:val="center"/>
            <w:tcMar>
              <w:top w:w="60" w:type="dxa"/>
              <w:bottom w:w="60" w:type="dxa"/>
              <w:left w:w="60" w:type="dxa"/>
              <w:right w:w="60" w:type="dxa"/>
            </w:tcMar>
          </w:tcPr>
          <w:p>
            <w:pPr>
              <w:spacing w:before="20" w:after="20"/>
              <w:jc w:val="right"/>
            </w:pPr>
            <w:r>
              <w:rPr>
                <w:rFonts w:ascii="Times New Roman" w:hAnsi="Times New Roman"/>
                <w:sz w:val="17"/>
              </w:rPr>
              <w:t>0.8645 - 0.7954</w:t>
            </w:r>
          </w:p>
        </w:tc>
        <w:tc>
          <w:tcPr>
            <w:tcW w:type="dxa" w:w="1152"/>
            <w:vAlign w:val="center"/>
            <w:tcMar>
              <w:top w:w="60" w:type="dxa"/>
              <w:bottom w:w="60" w:type="dxa"/>
              <w:left w:w="60" w:type="dxa"/>
              <w:right w:w="60" w:type="dxa"/>
            </w:tcMar>
          </w:tcPr>
          <w:p>
            <w:pPr>
              <w:spacing w:before="20" w:after="20"/>
              <w:jc w:val="center"/>
            </w:pPr>
            <w:r>
              <w:rPr>
                <w:rFonts w:ascii="Times New Roman" w:hAnsi="Times New Roman"/>
                <w:sz w:val="17"/>
              </w:rPr>
              <w:t>11.76 - 21.28</w:t>
            </w:r>
          </w:p>
        </w:tc>
        <w:tc>
          <w:tcPr>
            <w:tcW w:type="dxa" w:w="1296"/>
            <w:vAlign w:val="center"/>
            <w:tcMar>
              <w:top w:w="60" w:type="dxa"/>
              <w:bottom w:w="60" w:type="dxa"/>
              <w:left w:w="60" w:type="dxa"/>
              <w:right w:w="60" w:type="dxa"/>
            </w:tcMar>
          </w:tcPr>
          <w:p>
            <w:pPr>
              <w:spacing w:before="20" w:after="20"/>
              <w:jc w:val="center"/>
            </w:pPr>
            <w:r>
              <w:rPr>
                <w:rFonts w:ascii="Times New Roman" w:hAnsi="Times New Roman"/>
                <w:sz w:val="17"/>
              </w:rPr>
              <w:t>≥ 76 wins</w:t>
            </w:r>
          </w:p>
        </w:tc>
        <w:tc>
          <w:tcPr>
            <w:tcW w:type="dxa" w:w="1008"/>
            <w:vAlign w:val="center"/>
            <w:tcMar>
              <w:top w:w="60" w:type="dxa"/>
              <w:bottom w:w="60" w:type="dxa"/>
              <w:left w:w="60" w:type="dxa"/>
              <w:right w:w="60" w:type="dxa"/>
            </w:tcMar>
          </w:tcPr>
          <w:p>
            <w:pPr>
              <w:spacing w:before="20" w:after="20"/>
              <w:jc w:val="center"/>
            </w:pPr>
            <w:r>
              <w:rPr>
                <w:rFonts w:ascii="Times New Roman" w:hAnsi="Times New Roman"/>
                <w:sz w:val="17"/>
              </w:rPr>
              <w:t>&lt; 0.001</w:t>
            </w:r>
          </w:p>
        </w:tc>
      </w:tr>
    </w:tbl>
    <w:p>
      <w:pPr>
        <w:spacing w:before="60" w:after="180"/>
        <w:jc w:val="center"/>
      </w:pPr>
      <w:r>
        <w:rPr>
          <w:rFonts w:ascii="Times New Roman" w:hAnsi="Times New Roman"/>
          <w:i/>
          <w:color w:val="64748B"/>
          <w:sz w:val="18"/>
        </w:rPr>
        <w:t>Table 1: Benchmark ranking across the 109 UCR Archive datasets over 30 resamples (Wilcoxon tests with Holm correction).</w:t>
      </w:r>
    </w:p>
    <w:p>
      <w:pPr>
        <w:spacing w:before="120" w:after="40"/>
        <w:jc w:val="center"/>
      </w:pPr>
    </w:p>
    <w:p>
      <w:pPr>
        <w:jc w:val="center"/>
      </w:pPr>
      <w:r>
        <w:drawing>
          <wp:inline xmlns:a="http://schemas.openxmlformats.org/drawingml/2006/main" xmlns:pic="http://schemas.openxmlformats.org/drawingml/2006/picture">
            <wp:extent cx="5669280" cy="3252145"/>
            <wp:docPr id="9" name="Picture 9"/>
            <wp:cNvGraphicFramePr>
              <a:graphicFrameLocks noChangeAspect="1"/>
            </wp:cNvGraphicFramePr>
            <a:graphic>
              <a:graphicData uri="http://schemas.openxmlformats.org/drawingml/2006/picture">
                <pic:pic>
                  <pic:nvPicPr>
                    <pic:cNvPr id="0" name="fig6_cd_render-1.png"/>
                    <pic:cNvPicPr/>
                  </pic:nvPicPr>
                  <pic:blipFill>
                    <a:blip r:embed="rId19"/>
                    <a:stretch>
                      <a:fillRect/>
                    </a:stretch>
                  </pic:blipFill>
                  <pic:spPr>
                    <a:xfrm>
                      <a:off x="0" y="0"/>
                      <a:ext cx="5669280" cy="3252145"/>
                    </a:xfrm>
                    <a:prstGeom prst="rect"/>
                  </pic:spPr>
                </pic:pic>
              </a:graphicData>
            </a:graphic>
          </wp:inline>
        </w:drawing>
      </w:r>
    </w:p>
    <w:p>
      <w:pPr>
        <w:spacing w:before="60" w:after="180"/>
        <w:jc w:val="center"/>
      </w:pPr>
      <w:r>
        <w:rPr>
          <w:rFonts w:ascii="Times New Roman" w:hAnsi="Times New Roman"/>
          <w:i/>
          <w:color w:val="64748B"/>
          <w:sz w:val="18"/>
        </w:rPr>
        <w:t>Figure 3: Critical Difference diagram of mean ranks across 109 UCR datasets (Wilcoxon signed-rank test with Holm correction, alpha = 0.05, Rank 1 on right).</w:t>
      </w:r>
    </w:p>
    <w:p>
      <w:pPr>
        <w:spacing w:before="120" w:after="40"/>
        <w:jc w:val="center"/>
      </w:pPr>
    </w:p>
    <w:p>
      <w:pPr>
        <w:jc w:val="center"/>
      </w:pPr>
      <w:r>
        <w:drawing>
          <wp:inline xmlns:a="http://schemas.openxmlformats.org/drawingml/2006/main" xmlns:pic="http://schemas.openxmlformats.org/drawingml/2006/picture">
            <wp:extent cx="5669280" cy="2841389"/>
            <wp:docPr id="10" name="Picture 10"/>
            <wp:cNvGraphicFramePr>
              <a:graphicFrameLocks noChangeAspect="1"/>
            </wp:cNvGraphicFramePr>
            <a:graphic>
              <a:graphicData uri="http://schemas.openxmlformats.org/drawingml/2006/picture">
                <pic:pic>
                  <pic:nvPicPr>
                    <pic:cNvPr id="0" name="fig3_scatter_render-1.png"/>
                    <pic:cNvPicPr/>
                  </pic:nvPicPr>
                  <pic:blipFill>
                    <a:blip r:embed="rId20"/>
                    <a:stretch>
                      <a:fillRect/>
                    </a:stretch>
                  </pic:blipFill>
                  <pic:spPr>
                    <a:xfrm>
                      <a:off x="0" y="0"/>
                      <a:ext cx="5669280" cy="2841389"/>
                    </a:xfrm>
                    <a:prstGeom prst="rect"/>
                  </pic:spPr>
                </pic:pic>
              </a:graphicData>
            </a:graphic>
          </wp:inline>
        </w:drawing>
      </w:r>
    </w:p>
    <w:p>
      <w:pPr>
        <w:spacing w:before="60" w:after="180"/>
        <w:jc w:val="center"/>
      </w:pPr>
      <w:r>
        <w:rPr>
          <w:rFonts w:ascii="Times New Roman" w:hAnsi="Times New Roman"/>
          <w:i/>
          <w:color w:val="64748B"/>
          <w:sz w:val="18"/>
        </w:rPr>
        <w:t>Figure 4: Pairwise scatter plots of CADENCE against Hydra+MultiRocket and HIVE-COTE 2.0 with readable callouts.</w:t>
      </w:r>
    </w:p>
    <w:p>
      <w:pPr>
        <w:keepNext/>
        <w:spacing w:before="280" w:after="80"/>
        <w:jc w:val="left"/>
      </w:pPr>
      <w:r>
        <w:rPr>
          <w:rFonts w:ascii="Times New Roman" w:hAnsi="Times New Roman"/>
          <w:b/>
          <w:color w:val="0F172A"/>
          <w:sz w:val="26"/>
        </w:rPr>
        <w:t>5. Breakthroughs and Component Ablation</w:t>
      </w:r>
    </w:p>
    <w:p>
      <w:pPr>
        <w:spacing w:before="0" w:after="120" w:line="276" w:lineRule="auto"/>
        <w:jc w:val="left"/>
      </w:pPr>
      <w:r>
        <w:rPr>
          <w:rFonts w:ascii="Times New Roman" w:hAnsi="Times New Roman"/>
          <w:b w:val="0"/>
          <w:i w:val="0"/>
          <w:color w:val="1E293B"/>
          <w:sz w:val="21"/>
        </w:rPr>
        <w:t>CADENCE achieves decisive wins on specialized sensor and kinematic datasets over Hydra+MultiRocket: SemgHandMovementCh2 (0.8713 vs 0.7717, +9.96 pp), PigAirwayPressure (0.8220 vs 0.7234, +9.86 pp), InlineSkate (0.6047 vs 0.5081, +9.66 pp), and DistalPhalanxTW (0.7746 vs 0.6969, +7.77 pp). CADENCE also directly surpasses HIVE-COTE 2.0 on 39 datasets (e.g. DistalPhalanxTW +7.29 pp, InlineSkate +5.92 pp, Earthquakes +4.99 pp). On Seed 0 (the exact original UCR split), CADENCE obtains 0.7482 on Earthquakes (identical to majority class rate) and 0.7050 on DistalPhalanxTW.</w:t>
      </w:r>
    </w:p>
    <w:tbl>
      <w:tblPr>
        <w:tblW w:type="auto" w:w="0"/>
        <w:jc w:val="center"/>
        <w:tblLook w:firstColumn="1" w:firstRow="1" w:lastColumn="0" w:lastRow="0" w:noHBand="0" w:noVBand="1" w:val="04A0"/>
        <w:tblBorders>
          <w:left w:val="none"/>
          <w:right w:val="none"/>
          <w:insideH w:val="none"/>
          <w:insideV w:val="none"/>
          <w:top w:val="single" w:sz="10" w:color="0F172A"/>
          <w:bottom w:val="single" w:sz="10" w:color="0F172A"/>
        </w:tblBorders>
      </w:tblPr>
      <w:tblGrid>
        <w:gridCol w:w="2340"/>
        <w:gridCol w:w="2340"/>
        <w:gridCol w:w="2340"/>
        <w:gridCol w:w="2340"/>
      </w:tblGrid>
      <w:tr>
        <w:tc>
          <w:tcPr>
            <w:tcW w:type="dxa" w:w="2592"/>
            <w:tcBorders>
              <w:bottom w:val="single" w:sz="6" w:color="0F172A"/>
            </w:tcBorders>
            <w:vAlign w:val="center"/>
            <w:tcMar>
              <w:top w:w="60" w:type="dxa"/>
              <w:bottom w:w="60" w:type="dxa"/>
              <w:left w:w="60" w:type="dxa"/>
              <w:right w:w="60" w:type="dxa"/>
            </w:tcMar>
          </w:tcPr>
          <w:p>
            <w:pPr>
              <w:spacing w:before="20" w:after="20"/>
              <w:jc w:val="center"/>
            </w:pPr>
            <w:r>
              <w:rPr>
                <w:rFonts w:ascii="Times New Roman" w:hAnsi="Times New Roman"/>
                <w:b/>
                <w:sz w:val="17"/>
              </w:rPr>
              <w:t>Configuration</w:t>
            </w:r>
          </w:p>
        </w:tc>
        <w:tc>
          <w:tcPr>
            <w:tcW w:type="dxa" w:w="4032"/>
            <w:tcBorders>
              <w:bottom w:val="single" w:sz="6" w:color="0F172A"/>
            </w:tcBorders>
            <w:vAlign w:val="center"/>
            <w:tcMar>
              <w:top w:w="60" w:type="dxa"/>
              <w:bottom w:w="60" w:type="dxa"/>
              <w:left w:w="60" w:type="dxa"/>
              <w:right w:w="60" w:type="dxa"/>
            </w:tcMar>
          </w:tcPr>
          <w:p>
            <w:pPr>
              <w:spacing w:before="20" w:after="20"/>
              <w:jc w:val="center"/>
            </w:pPr>
            <w:r>
              <w:rPr>
                <w:rFonts w:ascii="Times New Roman" w:hAnsi="Times New Roman"/>
                <w:b/>
                <w:sz w:val="17"/>
              </w:rPr>
              <w:t>Component Modified</w:t>
            </w:r>
          </w:p>
        </w:tc>
        <w:tc>
          <w:tcPr>
            <w:tcW w:type="dxa" w:w="1728"/>
            <w:tcBorders>
              <w:bottom w:val="single" w:sz="6" w:color="0F172A"/>
            </w:tcBorders>
            <w:vAlign w:val="center"/>
            <w:tcMar>
              <w:top w:w="60" w:type="dxa"/>
              <w:bottom w:w="60" w:type="dxa"/>
              <w:left w:w="60" w:type="dxa"/>
              <w:right w:w="60" w:type="dxa"/>
            </w:tcMar>
          </w:tcPr>
          <w:p>
            <w:pPr>
              <w:spacing w:before="20" w:after="20"/>
              <w:jc w:val="center"/>
            </w:pPr>
            <w:r>
              <w:rPr>
                <w:rFonts w:ascii="Times New Roman" w:hAnsi="Times New Roman"/>
                <w:b/>
                <w:sz w:val="17"/>
              </w:rPr>
              <w:t>Mean Accuracy</w:t>
            </w:r>
          </w:p>
        </w:tc>
        <w:tc>
          <w:tcPr>
            <w:tcW w:type="dxa" w:w="1728"/>
            <w:tcBorders>
              <w:bottom w:val="single" w:sz="6" w:color="0F172A"/>
            </w:tcBorders>
            <w:vAlign w:val="center"/>
            <w:tcMar>
              <w:top w:w="60" w:type="dxa"/>
              <w:bottom w:w="60" w:type="dxa"/>
              <w:left w:w="60" w:type="dxa"/>
              <w:right w:w="60" w:type="dxa"/>
            </w:tcMar>
          </w:tcPr>
          <w:p>
            <w:pPr>
              <w:spacing w:before="20" w:after="20"/>
              <w:jc w:val="center"/>
            </w:pPr>
            <w:r>
              <w:rPr>
                <w:rFonts w:ascii="Times New Roman" w:hAnsi="Times New Roman"/>
                <w:b/>
                <w:sz w:val="17"/>
              </w:rPr>
              <w:t>Delta to Full (pp)</w:t>
            </w:r>
          </w:p>
        </w:tc>
      </w:tr>
      <w:tr>
        <w:tc>
          <w:tcPr>
            <w:tcW w:type="dxa" w:w="2592"/>
            <w:vAlign w:val="center"/>
            <w:tcMar>
              <w:top w:w="60" w:type="dxa"/>
              <w:bottom w:w="60" w:type="dxa"/>
              <w:left w:w="60" w:type="dxa"/>
              <w:right w:w="60" w:type="dxa"/>
            </w:tcMar>
          </w:tcPr>
          <w:p>
            <w:pPr>
              <w:spacing w:before="20" w:after="20"/>
              <w:jc w:val="left"/>
            </w:pPr>
            <w:r>
              <w:rPr>
                <w:rFonts w:ascii="Times New Roman" w:hAnsi="Times New Roman"/>
                <w:sz w:val="17"/>
              </w:rPr>
              <w:t>Branch A Only</w:t>
            </w:r>
          </w:p>
        </w:tc>
        <w:tc>
          <w:tcPr>
            <w:tcW w:type="dxa" w:w="4032"/>
            <w:vAlign w:val="center"/>
            <w:tcMar>
              <w:top w:w="60" w:type="dxa"/>
              <w:bottom w:w="60" w:type="dxa"/>
              <w:left w:w="60" w:type="dxa"/>
              <w:right w:w="60" w:type="dxa"/>
            </w:tcMar>
          </w:tcPr>
          <w:p>
            <w:pPr>
              <w:spacing w:before="20" w:after="20"/>
              <w:jc w:val="left"/>
            </w:pPr>
            <w:r>
              <w:rPr>
                <w:rFonts w:ascii="Times New Roman" w:hAnsi="Times New Roman"/>
                <w:sz w:val="17"/>
              </w:rPr>
              <w:t>MiniRocket + Ridge (No Interval Expert)</w:t>
            </w:r>
          </w:p>
        </w:tc>
        <w:tc>
          <w:tcPr>
            <w:tcW w:type="dxa" w:w="1728"/>
            <w:vAlign w:val="center"/>
            <w:tcMar>
              <w:top w:w="60" w:type="dxa"/>
              <w:bottom w:w="60" w:type="dxa"/>
              <w:left w:w="60" w:type="dxa"/>
              <w:right w:w="60" w:type="dxa"/>
            </w:tcMar>
          </w:tcPr>
          <w:p>
            <w:pPr>
              <w:spacing w:before="20" w:after="20"/>
              <w:jc w:val="center"/>
            </w:pPr>
            <w:r>
              <w:rPr>
                <w:rFonts w:ascii="Times New Roman" w:hAnsi="Times New Roman"/>
                <w:sz w:val="17"/>
              </w:rPr>
              <w:t>0.8724</w:t>
            </w:r>
          </w:p>
        </w:tc>
        <w:tc>
          <w:tcPr>
            <w:tcW w:type="dxa" w:w="1728"/>
            <w:vAlign w:val="center"/>
            <w:tcMar>
              <w:top w:w="60" w:type="dxa"/>
              <w:bottom w:w="60" w:type="dxa"/>
              <w:left w:w="60" w:type="dxa"/>
              <w:right w:w="60" w:type="dxa"/>
            </w:tcMar>
          </w:tcPr>
          <w:p>
            <w:pPr>
              <w:spacing w:before="20" w:after="20"/>
              <w:jc w:val="center"/>
            </w:pPr>
            <w:r>
              <w:rPr>
                <w:rFonts w:ascii="Times New Roman" w:hAnsi="Times New Roman"/>
                <w:sz w:val="17"/>
              </w:rPr>
              <w:t>-1.40 pp</w:t>
            </w:r>
          </w:p>
        </w:tc>
      </w:tr>
      <w:tr>
        <w:tc>
          <w:tcPr>
            <w:tcW w:type="dxa" w:w="2592"/>
            <w:vAlign w:val="center"/>
            <w:tcMar>
              <w:top w:w="60" w:type="dxa"/>
              <w:bottom w:w="60" w:type="dxa"/>
              <w:left w:w="60" w:type="dxa"/>
              <w:right w:w="60" w:type="dxa"/>
            </w:tcMar>
          </w:tcPr>
          <w:p>
            <w:pPr>
              <w:spacing w:before="20" w:after="20"/>
              <w:jc w:val="left"/>
            </w:pPr>
            <w:r>
              <w:rPr>
                <w:rFonts w:ascii="Times New Roman" w:hAnsi="Times New Roman"/>
                <w:sz w:val="17"/>
              </w:rPr>
              <w:t>Branch B Only</w:t>
            </w:r>
          </w:p>
        </w:tc>
        <w:tc>
          <w:tcPr>
            <w:tcW w:type="dxa" w:w="4032"/>
            <w:vAlign w:val="center"/>
            <w:tcMar>
              <w:top w:w="60" w:type="dxa"/>
              <w:bottom w:w="60" w:type="dxa"/>
              <w:left w:w="60" w:type="dxa"/>
              <w:right w:w="60" w:type="dxa"/>
            </w:tcMar>
          </w:tcPr>
          <w:p>
            <w:pPr>
              <w:spacing w:before="20" w:after="20"/>
              <w:jc w:val="left"/>
            </w:pPr>
            <w:r>
              <w:rPr>
                <w:rFonts w:ascii="Times New Roman" w:hAnsi="Times New Roman"/>
                <w:sz w:val="17"/>
              </w:rPr>
              <w:t>Hydra + MQ + FFT + ExtraTrees (No Conv Expert)</w:t>
            </w:r>
          </w:p>
        </w:tc>
        <w:tc>
          <w:tcPr>
            <w:tcW w:type="dxa" w:w="1728"/>
            <w:vAlign w:val="center"/>
            <w:tcMar>
              <w:top w:w="60" w:type="dxa"/>
              <w:bottom w:w="60" w:type="dxa"/>
              <w:left w:w="60" w:type="dxa"/>
              <w:right w:w="60" w:type="dxa"/>
            </w:tcMar>
          </w:tcPr>
          <w:p>
            <w:pPr>
              <w:spacing w:before="20" w:after="20"/>
              <w:jc w:val="center"/>
            </w:pPr>
            <w:r>
              <w:rPr>
                <w:rFonts w:ascii="Times New Roman" w:hAnsi="Times New Roman"/>
                <w:sz w:val="17"/>
              </w:rPr>
              <w:t>0.8729</w:t>
            </w:r>
          </w:p>
        </w:tc>
        <w:tc>
          <w:tcPr>
            <w:tcW w:type="dxa" w:w="1728"/>
            <w:vAlign w:val="center"/>
            <w:tcMar>
              <w:top w:w="60" w:type="dxa"/>
              <w:bottom w:w="60" w:type="dxa"/>
              <w:left w:w="60" w:type="dxa"/>
              <w:right w:w="60" w:type="dxa"/>
            </w:tcMar>
          </w:tcPr>
          <w:p>
            <w:pPr>
              <w:spacing w:before="20" w:after="20"/>
              <w:jc w:val="center"/>
            </w:pPr>
            <w:r>
              <w:rPr>
                <w:rFonts w:ascii="Times New Roman" w:hAnsi="Times New Roman"/>
                <w:sz w:val="17"/>
              </w:rPr>
              <w:t>-1.35 pp</w:t>
            </w:r>
          </w:p>
        </w:tc>
      </w:tr>
      <w:tr>
        <w:tc>
          <w:tcPr>
            <w:tcW w:type="dxa" w:w="2592"/>
            <w:vAlign w:val="center"/>
            <w:tcMar>
              <w:top w:w="60" w:type="dxa"/>
              <w:bottom w:w="60" w:type="dxa"/>
              <w:left w:w="60" w:type="dxa"/>
              <w:right w:w="60" w:type="dxa"/>
            </w:tcMar>
          </w:tcPr>
          <w:p>
            <w:pPr>
              <w:spacing w:before="20" w:after="20"/>
              <w:jc w:val="left"/>
            </w:pPr>
            <w:r>
              <w:rPr>
                <w:rFonts w:ascii="Times New Roman" w:hAnsi="Times New Roman"/>
                <w:sz w:val="17"/>
              </w:rPr>
              <w:t>Fixed 50/50 Soft Blend</w:t>
            </w:r>
          </w:p>
        </w:tc>
        <w:tc>
          <w:tcPr>
            <w:tcW w:type="dxa" w:w="4032"/>
            <w:vAlign w:val="center"/>
            <w:tcMar>
              <w:top w:w="60" w:type="dxa"/>
              <w:bottom w:w="60" w:type="dxa"/>
              <w:left w:w="60" w:type="dxa"/>
              <w:right w:w="60" w:type="dxa"/>
            </w:tcMar>
          </w:tcPr>
          <w:p>
            <w:pPr>
              <w:spacing w:before="20" w:after="20"/>
              <w:jc w:val="left"/>
            </w:pPr>
            <w:r>
              <w:rPr>
                <w:rFonts w:ascii="Times New Roman" w:hAnsi="Times New Roman"/>
                <w:sz w:val="17"/>
              </w:rPr>
              <w:t>Naive Averaging (No Dynamic Router)</w:t>
            </w:r>
          </w:p>
        </w:tc>
        <w:tc>
          <w:tcPr>
            <w:tcW w:type="dxa" w:w="1728"/>
            <w:vAlign w:val="center"/>
            <w:tcMar>
              <w:top w:w="60" w:type="dxa"/>
              <w:bottom w:w="60" w:type="dxa"/>
              <w:left w:w="60" w:type="dxa"/>
              <w:right w:w="60" w:type="dxa"/>
            </w:tcMar>
          </w:tcPr>
          <w:p>
            <w:pPr>
              <w:spacing w:before="20" w:after="20"/>
              <w:jc w:val="center"/>
            </w:pPr>
            <w:r>
              <w:rPr>
                <w:rFonts w:ascii="Times New Roman" w:hAnsi="Times New Roman"/>
                <w:sz w:val="17"/>
              </w:rPr>
              <w:t>0.8741</w:t>
            </w:r>
          </w:p>
        </w:tc>
        <w:tc>
          <w:tcPr>
            <w:tcW w:type="dxa" w:w="1728"/>
            <w:vAlign w:val="center"/>
            <w:tcMar>
              <w:top w:w="60" w:type="dxa"/>
              <w:bottom w:w="60" w:type="dxa"/>
              <w:left w:w="60" w:type="dxa"/>
              <w:right w:w="60" w:type="dxa"/>
            </w:tcMar>
          </w:tcPr>
          <w:p>
            <w:pPr>
              <w:spacing w:before="20" w:after="20"/>
              <w:jc w:val="center"/>
            </w:pPr>
            <w:r>
              <w:rPr>
                <w:rFonts w:ascii="Times New Roman" w:hAnsi="Times New Roman"/>
                <w:sz w:val="17"/>
              </w:rPr>
              <w:t>-1.23 pp</w:t>
            </w:r>
          </w:p>
        </w:tc>
      </w:tr>
      <w:tr>
        <w:tc>
          <w:tcPr>
            <w:tcW w:type="dxa" w:w="2592"/>
            <w:vAlign w:val="center"/>
            <w:tcMar>
              <w:top w:w="60" w:type="dxa"/>
              <w:bottom w:w="60" w:type="dxa"/>
              <w:left w:w="60" w:type="dxa"/>
              <w:right w:w="60" w:type="dxa"/>
            </w:tcMar>
          </w:tcPr>
          <w:p>
            <w:pPr>
              <w:spacing w:before="20" w:after="20"/>
              <w:jc w:val="left"/>
            </w:pPr>
            <w:r>
              <w:rPr>
                <w:rFonts w:ascii="Times New Roman" w:hAnsi="Times New Roman"/>
                <w:sz w:val="17"/>
              </w:rPr>
              <w:t>Static Routing (K ≥ 12)</w:t>
            </w:r>
          </w:p>
        </w:tc>
        <w:tc>
          <w:tcPr>
            <w:tcW w:type="dxa" w:w="4032"/>
            <w:vAlign w:val="center"/>
            <w:tcMar>
              <w:top w:w="60" w:type="dxa"/>
              <w:bottom w:w="60" w:type="dxa"/>
              <w:left w:w="60" w:type="dxa"/>
              <w:right w:w="60" w:type="dxa"/>
            </w:tcMar>
          </w:tcPr>
          <w:p>
            <w:pPr>
              <w:spacing w:before="20" w:after="20"/>
              <w:jc w:val="left"/>
            </w:pPr>
            <w:r>
              <w:rPr>
                <w:rFonts w:ascii="Times New Roman" w:hAnsi="Times New Roman"/>
                <w:sz w:val="17"/>
              </w:rPr>
              <w:t>Class-Count Heuristic Threshold</w:t>
            </w:r>
          </w:p>
        </w:tc>
        <w:tc>
          <w:tcPr>
            <w:tcW w:type="dxa" w:w="1728"/>
            <w:vAlign w:val="center"/>
            <w:tcMar>
              <w:top w:w="60" w:type="dxa"/>
              <w:bottom w:w="60" w:type="dxa"/>
              <w:left w:w="60" w:type="dxa"/>
              <w:right w:w="60" w:type="dxa"/>
            </w:tcMar>
          </w:tcPr>
          <w:p>
            <w:pPr>
              <w:spacing w:before="20" w:after="20"/>
              <w:jc w:val="center"/>
            </w:pPr>
            <w:r>
              <w:rPr>
                <w:rFonts w:ascii="Times New Roman" w:hAnsi="Times New Roman"/>
                <w:sz w:val="17"/>
              </w:rPr>
              <w:t>0.8813</w:t>
            </w:r>
          </w:p>
        </w:tc>
        <w:tc>
          <w:tcPr>
            <w:tcW w:type="dxa" w:w="1728"/>
            <w:vAlign w:val="center"/>
            <w:tcMar>
              <w:top w:w="60" w:type="dxa"/>
              <w:bottom w:w="60" w:type="dxa"/>
              <w:left w:w="60" w:type="dxa"/>
              <w:right w:w="60" w:type="dxa"/>
            </w:tcMar>
          </w:tcPr>
          <w:p>
            <w:pPr>
              <w:spacing w:before="20" w:after="20"/>
              <w:jc w:val="center"/>
            </w:pPr>
            <w:r>
              <w:rPr>
                <w:rFonts w:ascii="Times New Roman" w:hAnsi="Times New Roman"/>
                <w:sz w:val="17"/>
              </w:rPr>
              <w:t>-0.51 pp</w:t>
            </w:r>
          </w:p>
        </w:tc>
      </w:tr>
      <w:tr>
        <w:tc>
          <w:tcPr>
            <w:tcW w:type="dxa" w:w="2592"/>
            <w:vAlign w:val="center"/>
            <w:tcMar>
              <w:top w:w="60" w:type="dxa"/>
              <w:bottom w:w="60" w:type="dxa"/>
              <w:left w:w="60" w:type="dxa"/>
              <w:right w:w="60" w:type="dxa"/>
            </w:tcMar>
          </w:tcPr>
          <w:p>
            <w:pPr>
              <w:spacing w:before="20" w:after="20"/>
              <w:jc w:val="left"/>
            </w:pPr>
            <w:r>
              <w:rPr>
                <w:rFonts w:ascii="Times New Roman" w:hAnsi="Times New Roman"/>
                <w:b/>
                <w:sz w:val="17"/>
              </w:rPr>
              <w:t>CADENCE (Full System)</w:t>
            </w:r>
          </w:p>
        </w:tc>
        <w:tc>
          <w:tcPr>
            <w:tcW w:type="dxa" w:w="4032"/>
            <w:vAlign w:val="center"/>
            <w:tcMar>
              <w:top w:w="60" w:type="dxa"/>
              <w:bottom w:w="60" w:type="dxa"/>
              <w:left w:w="60" w:type="dxa"/>
              <w:right w:w="60" w:type="dxa"/>
            </w:tcMar>
          </w:tcPr>
          <w:p>
            <w:pPr>
              <w:spacing w:before="20" w:after="20"/>
              <w:jc w:val="left"/>
            </w:pPr>
            <w:r>
              <w:rPr>
                <w:rFonts w:ascii="Times New Roman" w:hAnsi="Times New Roman"/>
                <w:b/>
                <w:sz w:val="17"/>
              </w:rPr>
              <w:t>Confidence-Adaptive Meta-Router</w:t>
            </w:r>
          </w:p>
        </w:tc>
        <w:tc>
          <w:tcPr>
            <w:tcW w:type="dxa" w:w="1728"/>
            <w:vAlign w:val="center"/>
            <w:tcMar>
              <w:top w:w="60" w:type="dxa"/>
              <w:bottom w:w="60" w:type="dxa"/>
              <w:left w:w="60" w:type="dxa"/>
              <w:right w:w="60" w:type="dxa"/>
            </w:tcMar>
          </w:tcPr>
          <w:p>
            <w:pPr>
              <w:spacing w:before="20" w:after="20"/>
              <w:jc w:val="center"/>
            </w:pPr>
            <w:r>
              <w:rPr>
                <w:rFonts w:ascii="Times New Roman" w:hAnsi="Times New Roman"/>
                <w:b/>
                <w:sz w:val="17"/>
              </w:rPr>
              <w:t>0.8864</w:t>
            </w:r>
          </w:p>
        </w:tc>
        <w:tc>
          <w:tcPr>
            <w:tcW w:type="dxa" w:w="1728"/>
            <w:vAlign w:val="center"/>
            <w:tcMar>
              <w:top w:w="60" w:type="dxa"/>
              <w:bottom w:w="60" w:type="dxa"/>
              <w:left w:w="60" w:type="dxa"/>
              <w:right w:w="60" w:type="dxa"/>
            </w:tcMar>
          </w:tcPr>
          <w:p>
            <w:pPr>
              <w:spacing w:before="20" w:after="20"/>
              <w:jc w:val="center"/>
            </w:pPr>
            <w:r>
              <w:rPr>
                <w:rFonts w:ascii="Times New Roman" w:hAnsi="Times New Roman"/>
                <w:b/>
                <w:sz w:val="17"/>
              </w:rPr>
              <w:t>--</w:t>
            </w:r>
          </w:p>
        </w:tc>
      </w:tr>
    </w:tbl>
    <w:p>
      <w:pPr>
        <w:spacing w:before="60" w:after="180"/>
        <w:jc w:val="center"/>
      </w:pPr>
      <w:r>
        <w:rPr>
          <w:rFonts w:ascii="Times New Roman" w:hAnsi="Times New Roman"/>
          <w:i/>
          <w:color w:val="64748B"/>
          <w:sz w:val="18"/>
        </w:rPr>
        <w:t>Table 2: Controlled component ablation across all 109 datasets (30 resamples). MQ denotes MomentQuant.</w:t>
      </w:r>
    </w:p>
    <w:p>
      <w:pPr>
        <w:spacing w:before="120" w:after="40"/>
        <w:jc w:val="center"/>
      </w:pPr>
    </w:p>
    <w:tbl>
      <w:tblPr>
        <w:tblW w:type="auto" w:w="0"/>
        <w:jc w:val="center"/>
        <w:tblLook w:firstColumn="1" w:firstRow="1" w:lastColumn="0" w:lastRow="0" w:noHBand="0" w:noVBand="1" w:val="04A0"/>
      </w:tblPr>
      <w:tblGrid>
        <w:gridCol w:w="4680"/>
        <w:gridCol w:w="4680"/>
      </w:tblGrid>
      <w:tr>
        <w:tc>
          <w:tcPr>
            <w:tcW w:type="dxa" w:w="4608"/>
          </w:tcPr>
          <w:p>
            <w:pPr>
              <w:jc w:val="center"/>
            </w:pPr>
            <w:r>
              <w:drawing>
                <wp:inline xmlns:a="http://schemas.openxmlformats.org/drawingml/2006/main" xmlns:pic="http://schemas.openxmlformats.org/drawingml/2006/picture">
                  <wp:extent cx="2834640" cy="1822444"/>
                  <wp:docPr id="11" name="Picture 11"/>
                  <wp:cNvGraphicFramePr>
                    <a:graphicFrameLocks noChangeAspect="1"/>
                  </wp:cNvGraphicFramePr>
                  <a:graphic>
                    <a:graphicData uri="http://schemas.openxmlformats.org/drawingml/2006/picture">
                      <pic:pic>
                        <pic:nvPicPr>
                          <pic:cNvPr id="0" name="fig4_pareto_render-1.png"/>
                          <pic:cNvPicPr/>
                        </pic:nvPicPr>
                        <pic:blipFill>
                          <a:blip r:embed="rId21"/>
                          <a:stretch>
                            <a:fillRect/>
                          </a:stretch>
                        </pic:blipFill>
                        <pic:spPr>
                          <a:xfrm>
                            <a:off x="0" y="0"/>
                            <a:ext cx="2834640" cy="1822444"/>
                          </a:xfrm>
                          <a:prstGeom prst="rect"/>
                        </pic:spPr>
                      </pic:pic>
                    </a:graphicData>
                  </a:graphic>
                </wp:inline>
              </w:drawing>
            </w:r>
          </w:p>
        </w:tc>
        <w:tc>
          <w:tcPr>
            <w:tcW w:type="dxa" w:w="4608"/>
          </w:tcPr>
          <w:p>
            <w:pPr>
              <w:jc w:val="center"/>
            </w:pPr>
            <w:r>
              <w:drawing>
                <wp:inline xmlns:a="http://schemas.openxmlformats.org/drawingml/2006/main" xmlns:pic="http://schemas.openxmlformats.org/drawingml/2006/picture">
                  <wp:extent cx="2834640" cy="1523362"/>
                  <wp:docPr id="12" name="Picture 12"/>
                  <wp:cNvGraphicFramePr>
                    <a:graphicFrameLocks noChangeAspect="1"/>
                  </wp:cNvGraphicFramePr>
                  <a:graphic>
                    <a:graphicData uri="http://schemas.openxmlformats.org/drawingml/2006/picture">
                      <pic:pic>
                        <pic:nvPicPr>
                          <pic:cNvPr id="0" name="fig5_ablation_render-1.png"/>
                          <pic:cNvPicPr/>
                        </pic:nvPicPr>
                        <pic:blipFill>
                          <a:blip r:embed="rId22"/>
                          <a:stretch>
                            <a:fillRect/>
                          </a:stretch>
                        </pic:blipFill>
                        <pic:spPr>
                          <a:xfrm>
                            <a:off x="0" y="0"/>
                            <a:ext cx="2834640" cy="1523362"/>
                          </a:xfrm>
                          <a:prstGeom prst="rect"/>
                        </pic:spPr>
                      </pic:pic>
                    </a:graphicData>
                  </a:graphic>
                </wp:inline>
              </w:drawing>
            </w:r>
          </w:p>
        </w:tc>
      </w:tr>
    </w:tbl>
    <w:p>
      <w:pPr>
        <w:spacing w:before="60" w:after="180"/>
        <w:jc w:val="center"/>
      </w:pPr>
      <w:r>
        <w:rPr>
          <w:rFonts w:ascii="Times New Roman" w:hAnsi="Times New Roman"/>
          <w:i/>
          <w:color w:val="64748B"/>
          <w:sz w:val="18"/>
        </w:rPr>
        <w:t>Figure 5: Left: Empirical Pareto frontier vs. cluster training runtime. Right: Systematic component ablations.</w:t>
      </w:r>
    </w:p>
    <w:p>
      <w:pPr>
        <w:keepNext/>
        <w:spacing w:before="280" w:after="80"/>
        <w:jc w:val="left"/>
      </w:pPr>
      <w:r>
        <w:rPr>
          <w:rFonts w:ascii="Times New Roman" w:hAnsi="Times New Roman"/>
          <w:b/>
          <w:color w:val="0F172A"/>
          <w:sz w:val="26"/>
        </w:rPr>
        <w:t>6. Routing Analysis and Computational Efficiency</w:t>
      </w:r>
    </w:p>
    <w:p>
      <w:pPr>
        <w:spacing w:before="0" w:after="120" w:line="276" w:lineRule="auto"/>
        <w:jc w:val="left"/>
      </w:pPr>
      <w:r>
        <w:rPr>
          <w:rFonts w:ascii="Times New Roman" w:hAnsi="Times New Roman"/>
          <w:b w:val="0"/>
          <w:i w:val="0"/>
          <w:color w:val="1E293B"/>
          <w:sz w:val="21"/>
        </w:rPr>
        <w:t>Exact Routing Distribution (N = 109 Datasets): Across all 109 evaluated datasets, 82 datasets (75.2%) trigger Regime II (Competitive Blending, e.g. Phoneme, ArrowHead, ECG200), 18 datasets (16.5%) trigger Regime III (Pure Branch A Dominance, e.g. PigAirwayPressure, PigCVP, Fish), and 9 datasets (8.3%) trigger Regime I (Pure Branch B Dominance, e.g. Semg, InlineSkate). In total, 27 datasets (24.8%) trigger dominance regimes where test inference skips one branch completely.</w:t>
      </w:r>
    </w:p>
    <w:p>
      <w:pPr>
        <w:spacing w:before="0" w:after="120" w:line="276" w:lineRule="auto"/>
        <w:jc w:val="left"/>
      </w:pPr>
      <w:r>
        <w:rPr>
          <w:rFonts w:ascii="Times New Roman" w:hAnsi="Times New Roman"/>
          <w:b w:val="0"/>
          <w:i w:val="0"/>
          <w:color w:val="1E293B"/>
          <w:sz w:val="21"/>
        </w:rPr>
        <w:t>Pareto Efficiency: CADENCE executes in an average of 17.53 seconds per seed run. The entire 3,270-run benchmark completed in 15.92 CPU hours (~7.5 hours wall-clock time via bidirectional execution on an Intel Core i7-7600U). Published cluster runtimes report TS-CHIEF at 1,016.87h (~32,685s per dataset), HIVE-COTE 1.0 at 427.18h (~13,730s), and HIVE-COTE 2.0 at 340.21h (~10,935s). CADENCE establishes a superior Pareto frontier, nearing HC2 accuracy while running orders of magnitude faster.</w:t>
      </w:r>
    </w:p>
    <w:p>
      <w:pPr>
        <w:keepNext/>
        <w:spacing w:before="280" w:after="80"/>
        <w:jc w:val="left"/>
      </w:pPr>
      <w:r>
        <w:rPr>
          <w:rFonts w:ascii="Times New Roman" w:hAnsi="Times New Roman"/>
          <w:b/>
          <w:color w:val="0F172A"/>
          <w:sz w:val="26"/>
        </w:rPr>
        <w:t>7. Discussion, Limitations, and Conclusion</w:t>
      </w:r>
    </w:p>
    <w:p>
      <w:pPr>
        <w:spacing w:before="0" w:after="120" w:line="276" w:lineRule="auto"/>
        <w:jc w:val="left"/>
      </w:pPr>
      <w:r>
        <w:rPr>
          <w:rFonts w:ascii="Times New Roman" w:hAnsi="Times New Roman"/>
          <w:b w:val="0"/>
          <w:i w:val="0"/>
          <w:color w:val="1E293B"/>
          <w:sz w:val="21"/>
        </w:rPr>
        <w:t>Discussion &amp; Limitations: CADENCE demonstrates that combining complementary representations through confidence-adaptive routing provides a scalable alternative to monolithic ensembles. Limitations include testing on univariate benchmarks, using a global margin threshold (τ = 0.08), discrete validation granularity on small training sets (N ≤ 30), and relying on softmax calibration. On certain long-range contour outline and spectral sets (ShapesAll, EthanolLevel), HIVE-COTE 2.0 still holds an advantage.</w:t>
      </w:r>
    </w:p>
    <w:p>
      <w:pPr>
        <w:spacing w:before="0" w:after="120" w:line="276" w:lineRule="auto"/>
        <w:jc w:val="left"/>
      </w:pPr>
      <w:r>
        <w:rPr>
          <w:rFonts w:ascii="Times New Roman" w:hAnsi="Times New Roman"/>
          <w:b w:val="0"/>
          <w:i w:val="0"/>
          <w:color w:val="1E293B"/>
          <w:sz w:val="21"/>
        </w:rPr>
        <w:t>Conclusion: CADENCE provides a fast, CPU-native classifier achieving 0.8864 accuracy across the 109 UCR datasets. Ranking #2 among evaluated classifiers across the archive, CADENCE closes the gap to HIVE-COTE 2.0 to just 0.31 percentage points while running in seconds, offering a practical tool for machine learning researchers and practitioners.</w:t>
      </w:r>
    </w:p>
    <w:p>
      <w:pPr>
        <w:keepNext/>
        <w:spacing w:before="280" w:after="80"/>
        <w:jc w:val="left"/>
      </w:pPr>
      <w:r>
        <w:rPr>
          <w:rFonts w:ascii="Times New Roman" w:hAnsi="Times New Roman"/>
          <w:b/>
          <w:color w:val="0F172A"/>
          <w:sz w:val="26"/>
        </w:rPr>
        <w:t>References</w:t>
      </w:r>
    </w:p>
    <w:p>
      <w:pPr>
        <w:spacing w:before="20" w:after="50" w:line="276" w:lineRule="auto"/>
        <w:ind w:left="432" w:hanging="432"/>
        <w:jc w:val="both"/>
      </w:pPr>
      <w:r>
        <w:rPr>
          <w:rFonts w:ascii="Times New Roman" w:hAnsi="Times New Roman"/>
          <w:color w:val="334155"/>
          <w:sz w:val="17"/>
        </w:rPr>
        <w:t>[1] A. Dempster, F. Petitjean, and G. I. Webb, 'ROCKET: Exceptionally fast and accurate time series classification using random convolutional kernels,' Data Mining and Knowledge Discovery, vol. 34, no. 5, pp. 1454-1495, 2020. DOI: 10.1007/s10618-020-00701-z</w:t>
      </w:r>
    </w:p>
    <w:p>
      <w:pPr>
        <w:spacing w:before="20" w:after="50" w:line="276" w:lineRule="auto"/>
        <w:ind w:left="432" w:hanging="432"/>
        <w:jc w:val="both"/>
      </w:pPr>
      <w:r>
        <w:rPr>
          <w:rFonts w:ascii="Times New Roman" w:hAnsi="Times New Roman"/>
          <w:color w:val="334155"/>
          <w:sz w:val="17"/>
        </w:rPr>
        <w:t>[2] A. Dempster, D. F. Schmidt, and G. I. Webb, 'MiniRocket: A very fast (almost) deterministic transform for time series classification,' in Proc. 27th ACM SIGKDD, 2021, pp. 248-257. DOI: 10.1145/3447548.3467231</w:t>
      </w:r>
    </w:p>
    <w:p>
      <w:pPr>
        <w:spacing w:before="20" w:after="50" w:line="276" w:lineRule="auto"/>
        <w:ind w:left="432" w:hanging="432"/>
        <w:jc w:val="both"/>
      </w:pPr>
      <w:r>
        <w:rPr>
          <w:rFonts w:ascii="Times New Roman" w:hAnsi="Times New Roman"/>
          <w:color w:val="334155"/>
          <w:sz w:val="17"/>
        </w:rPr>
        <w:t>[3] A. Dempster, D. F. Schmidt, and G. I. Webb, 'Hydra: Competing convolutional kernels for fast and accurate time series classification,' Data Mining and Knowledge Discovery, vol. 37, no. 5, pp. 1779-1805, 2023. DOI: 10.1007/s10618-023-00939-3</w:t>
      </w:r>
    </w:p>
    <w:p>
      <w:pPr>
        <w:spacing w:before="20" w:after="50" w:line="276" w:lineRule="auto"/>
        <w:ind w:left="432" w:hanging="432"/>
        <w:jc w:val="both"/>
      </w:pPr>
      <w:r>
        <w:rPr>
          <w:rFonts w:ascii="Times New Roman" w:hAnsi="Times New Roman"/>
          <w:color w:val="334155"/>
          <w:sz w:val="17"/>
        </w:rPr>
        <w:t>[4] C. W. Tan, A. Dempster, C. Bergmeir, and G. I. Webb, 'MultiRocket: Multiple pooling operators and transformations for fast and effective time series classification,' Data Mining and Knowledge Discovery, vol. 36, no. 5, pp. 1623-1646, 2022. DOI: 10.1007/s10618-022-00844-1</w:t>
      </w:r>
    </w:p>
    <w:p>
      <w:pPr>
        <w:spacing w:before="20" w:after="50" w:line="276" w:lineRule="auto"/>
        <w:ind w:left="432" w:hanging="432"/>
        <w:jc w:val="both"/>
      </w:pPr>
      <w:r>
        <w:rPr>
          <w:rFonts w:ascii="Times New Roman" w:hAnsi="Times New Roman"/>
          <w:color w:val="334155"/>
          <w:sz w:val="17"/>
        </w:rPr>
        <w:t>[5] M. Middlehurst, J. Large, M. Flynn, J. Lines, A. Bostrom, and A. Bagnall, 'HIVE-COTE 2.0: A new meta ensemble for time series classification,' Machine Learning, vol. 110, no. 11, pp. 3211-3243, 2021. DOI: 10.1007/s10994-021-06057-9</w:t>
      </w:r>
    </w:p>
    <w:p>
      <w:pPr>
        <w:spacing w:before="20" w:after="50" w:line="276" w:lineRule="auto"/>
        <w:ind w:left="432" w:hanging="432"/>
        <w:jc w:val="both"/>
      </w:pPr>
      <w:r>
        <w:rPr>
          <w:rFonts w:ascii="Times New Roman" w:hAnsi="Times New Roman"/>
          <w:color w:val="334155"/>
          <w:sz w:val="17"/>
        </w:rPr>
        <w:t>[6] H. A. Dau, A. Bagnall, K. Kamgar, C.-C. M. Yeh, Y. Zhu, S. Gharghabi, C. A. Ratanamahatana, and E. Keogh, 'The UCR time series archive,' IEEE/CAA Journal of Automatica Sinica, vol. 6, no. 6, pp. 1293-1305, 2019. DOI: 10.1109/JAS.2019.1911747</w:t>
      </w:r>
    </w:p>
    <w:p>
      <w:pPr>
        <w:spacing w:before="20" w:after="50" w:line="276" w:lineRule="auto"/>
        <w:ind w:left="432" w:hanging="432"/>
        <w:jc w:val="both"/>
      </w:pPr>
      <w:r>
        <w:rPr>
          <w:rFonts w:ascii="Times New Roman" w:hAnsi="Times New Roman"/>
          <w:color w:val="334155"/>
          <w:sz w:val="17"/>
        </w:rPr>
        <w:t>[6b] J. Lines, S. Taylor, and A. Bagnall, 'Time series classification with HIVE-COTE: The hierarchical vote collective of transformation-based ensembles,' ACM TKDD, vol. 12, no. 5, pp. 1-35, 2018. DOI: 10.1145/3182382</w:t>
      </w:r>
    </w:p>
    <w:p>
      <w:pPr>
        <w:spacing w:before="20" w:after="50" w:line="276" w:lineRule="auto"/>
        <w:ind w:left="432" w:hanging="432"/>
        <w:jc w:val="both"/>
      </w:pPr>
      <w:r>
        <w:rPr>
          <w:rFonts w:ascii="Times New Roman" w:hAnsi="Times New Roman"/>
          <w:color w:val="334155"/>
          <w:sz w:val="17"/>
        </w:rPr>
        <w:t>[7] A. Bagnall, J. Lines, A. Bostrom, J. Large, and E. Keogh, 'The great time series classification bake off: a review and experimental evaluation of recent algorithmic advances,' Data Mining and Knowledge Discovery, vol. 31, no. 3, pp. 606-660, 2017. DOI: 10.1007/s10618-016-0483-9</w:t>
      </w:r>
    </w:p>
    <w:p>
      <w:pPr>
        <w:spacing w:before="20" w:after="50" w:line="276" w:lineRule="auto"/>
        <w:ind w:left="432" w:hanging="432"/>
        <w:jc w:val="both"/>
      </w:pPr>
      <w:r>
        <w:rPr>
          <w:rFonts w:ascii="Times New Roman" w:hAnsi="Times New Roman"/>
          <w:color w:val="334155"/>
          <w:sz w:val="17"/>
        </w:rPr>
        <w:t>[8] A. Shifaz, C. Pelletier, F. Petitjean, and G. I. Webb, 'TS-CHIEF: A scalable and accurate forest algorithm for time series classification,' Data Mining and Knowledge Discovery, vol. 34, no. 3, pp. 742-775, 2020. DOI: 10.1007/s10618-020-00679-8</w:t>
      </w:r>
    </w:p>
    <w:p>
      <w:pPr>
        <w:spacing w:before="20" w:after="50" w:line="276" w:lineRule="auto"/>
        <w:ind w:left="432" w:hanging="432"/>
        <w:jc w:val="both"/>
      </w:pPr>
      <w:r>
        <w:rPr>
          <w:rFonts w:ascii="Times New Roman" w:hAnsi="Times New Roman"/>
          <w:color w:val="334155"/>
          <w:sz w:val="17"/>
        </w:rPr>
        <w:t>[8b] H. Ismail Fawaz et al., 'InceptionTime: Finding AlexNet for time series classification,' Data Mining and Knowledge Discovery, vol. 34, no. 6, pp. 1936-1962, 2020. DOI: 10.1007/s10618-020-00710-y</w:t>
      </w:r>
    </w:p>
    <w:p>
      <w:pPr>
        <w:spacing w:before="20" w:after="50" w:line="276" w:lineRule="auto"/>
        <w:ind w:left="432" w:hanging="432"/>
        <w:jc w:val="both"/>
      </w:pPr>
      <w:r>
        <w:rPr>
          <w:rFonts w:ascii="Times New Roman" w:hAnsi="Times New Roman"/>
          <w:color w:val="334155"/>
          <w:sz w:val="17"/>
        </w:rPr>
        <w:t>[9] E. A. Cornish and R. A. Fisher, 'Moments and cumulants in the specification of distributions,' Revue de l'Institut International de Statistique, vol. 5, no. 4, pp. 307-320, 1938. DOI: 10.2307/1400905</w:t>
      </w:r>
    </w:p>
    <w:p>
      <w:pPr>
        <w:spacing w:before="20" w:after="50" w:line="276" w:lineRule="auto"/>
        <w:ind w:left="432" w:hanging="432"/>
        <w:jc w:val="both"/>
      </w:pPr>
      <w:r>
        <w:rPr>
          <w:rFonts w:ascii="Times New Roman" w:hAnsi="Times New Roman"/>
          <w:color w:val="334155"/>
          <w:sz w:val="17"/>
        </w:rPr>
        <w:t>[10] P. Geurts, D. Ernst, and L. Wehenkel, 'Extremely randomized trees,' Machine Learning, vol. 63, no. 1, pp. 3-42, 2006. DOI: 10.1007/s10994-006-6226-1</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64748B"/>
        <w:sz w:val="17"/>
      </w:rPr>
      <w:t>CADENCE: A Confidence-Adaptive Dual-Expert Network for Fast and Accurate TSC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