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7851C" w14:textId="77777777" w:rsidR="00C343D3" w:rsidRPr="00C343D3" w:rsidRDefault="00C343D3" w:rsidP="00C343D3">
      <w:pPr>
        <w:keepNext/>
        <w:keepLines/>
        <w:shd w:val="clear" w:color="auto" w:fill="3F2B2B"/>
        <w:spacing w:after="0" w:line="259" w:lineRule="auto"/>
        <w:outlineLvl w:val="1"/>
        <w:rPr>
          <w:rFonts w:ascii="Calibri" w:eastAsia="DengXian Light" w:hAnsi="Calibri" w:cs="Calibri"/>
          <w:b/>
          <w:bCs/>
          <w:lang w:eastAsia="en-US"/>
        </w:rPr>
      </w:pPr>
      <w:bookmarkStart w:id="0" w:name="_Toc166515031"/>
      <w:r w:rsidRPr="00C343D3">
        <w:rPr>
          <w:rFonts w:ascii="Calibri" w:eastAsia="DengXian Light" w:hAnsi="Calibri" w:cs="Calibri"/>
          <w:b/>
          <w:bCs/>
          <w:lang w:eastAsia="en-US"/>
        </w:rPr>
        <w:t>PROJECT UNDERSTANDING: UNDERSTANDING THE IMPACT OF DR-4769 ON SANTA CRUZ</w:t>
      </w:r>
      <w:bookmarkEnd w:id="0"/>
    </w:p>
    <w:p w14:paraId="51FA54C5" w14:textId="77777777" w:rsidR="00C343D3" w:rsidRPr="00C343D3" w:rsidRDefault="00C343D3" w:rsidP="00C343D3">
      <w:pPr>
        <w:spacing w:line="259" w:lineRule="auto"/>
        <w:jc w:val="both"/>
        <w:rPr>
          <w:rFonts w:ascii="Calibri" w:eastAsia="Calibri" w:hAnsi="Calibri" w:cs="Times New Roman"/>
          <w:sz w:val="22"/>
          <w:szCs w:val="22"/>
          <w:lang w:eastAsia="en-US"/>
        </w:rPr>
      </w:pPr>
      <w:r w:rsidRPr="00C343D3">
        <w:rPr>
          <w:rFonts w:ascii="Calibri" w:eastAsia="Calibri" w:hAnsi="Calibri" w:cs="Times New Roman"/>
          <w:sz w:val="22"/>
          <w:szCs w:val="22"/>
          <w:lang w:eastAsia="en-US"/>
        </w:rPr>
        <w:t>In early February 2024, Santa Cruz was devastated by a severe winter storm, causing unprecedented flooding, landslides, and mudslides. This event led to extensive damage to homes, businesses, and critical infrastructure. The storm, influenced by El Niño, resulted in toppled trees, damaged vehicles, and widespread power outages, significantly disrupting daily life. Despite these challenges, the community has shown remarkable resilience.</w:t>
      </w:r>
    </w:p>
    <w:p w14:paraId="0B92DBFE" w14:textId="77777777" w:rsidR="00C343D3" w:rsidRPr="00C343D3" w:rsidRDefault="00C343D3" w:rsidP="00C343D3">
      <w:pPr>
        <w:spacing w:after="0" w:line="259" w:lineRule="auto"/>
        <w:jc w:val="both"/>
        <w:rPr>
          <w:rFonts w:ascii="Calibri" w:eastAsia="Calibri" w:hAnsi="Calibri" w:cs="Times New Roman"/>
          <w:b/>
          <w:bCs/>
          <w:sz w:val="22"/>
          <w:szCs w:val="22"/>
          <w:lang w:eastAsia="en-US"/>
        </w:rPr>
      </w:pPr>
      <w:r w:rsidRPr="00C343D3">
        <w:rPr>
          <w:rFonts w:ascii="Calibri" w:eastAsia="Calibri" w:hAnsi="Calibri" w:cs="Times New Roman"/>
          <w:b/>
          <w:bCs/>
          <w:sz w:val="22"/>
          <w:szCs w:val="22"/>
          <w:lang w:eastAsia="en-US"/>
        </w:rPr>
        <w:t>AVAILABLE ASSISTANCE</w:t>
      </w:r>
    </w:p>
    <w:p w14:paraId="1C0E4B42" w14:textId="77777777" w:rsidR="00C343D3" w:rsidRPr="00C343D3" w:rsidRDefault="00C343D3" w:rsidP="00C343D3">
      <w:pPr>
        <w:spacing w:line="259" w:lineRule="auto"/>
        <w:jc w:val="both"/>
        <w:rPr>
          <w:rFonts w:ascii="Calibri" w:eastAsia="Calibri" w:hAnsi="Calibri" w:cs="Times New Roman"/>
          <w:sz w:val="22"/>
          <w:szCs w:val="22"/>
          <w:lang w:eastAsia="en-US"/>
        </w:rPr>
      </w:pPr>
      <w:r w:rsidRPr="00C343D3">
        <w:rPr>
          <w:rFonts w:ascii="Calibri" w:eastAsia="Calibri" w:hAnsi="Calibri" w:cs="Times New Roman"/>
          <w:sz w:val="22"/>
          <w:szCs w:val="22"/>
          <w:lang w:eastAsia="en-US"/>
        </w:rPr>
        <w:t>Santa Cruz is eligible for federal funding under FEMA’s Public Assistance (PA) program, which covers categories A through G, including debris removal, emergency protective measures, and permanent work on roads, bridges, and utilities. The PA program will cover 75% of eligible costs, with the State of California covering 75% of the non-federal share. This significant support highlights the importance of expert management to navigate the complex grant processes and ensure maximum recovery funding.</w:t>
      </w:r>
    </w:p>
    <w:p w14:paraId="6B69EE5A" w14:textId="77777777" w:rsidR="00C343D3" w:rsidRPr="00C343D3" w:rsidRDefault="00C343D3" w:rsidP="00C343D3">
      <w:pPr>
        <w:spacing w:after="0" w:line="259" w:lineRule="auto"/>
        <w:jc w:val="both"/>
        <w:rPr>
          <w:rFonts w:ascii="Calibri" w:eastAsia="Calibri" w:hAnsi="Calibri" w:cs="Times New Roman"/>
          <w:b/>
          <w:bCs/>
          <w:sz w:val="22"/>
          <w:szCs w:val="22"/>
          <w:lang w:eastAsia="en-US"/>
        </w:rPr>
      </w:pPr>
      <w:r w:rsidRPr="00C343D3">
        <w:rPr>
          <w:rFonts w:ascii="Calibri" w:eastAsia="Calibri" w:hAnsi="Calibri" w:cs="Times New Roman"/>
          <w:b/>
          <w:bCs/>
          <w:sz w:val="22"/>
          <w:szCs w:val="22"/>
          <w:lang w:eastAsia="en-US"/>
        </w:rPr>
        <w:t>WHY SANTA CRUZ SHOULD CHOOSE GRANTCITY CONSULTING (GCC)</w:t>
      </w:r>
    </w:p>
    <w:p w14:paraId="59E9E88E" w14:textId="77777777" w:rsidR="00C343D3" w:rsidRPr="00C343D3" w:rsidRDefault="00C343D3" w:rsidP="00C343D3">
      <w:pPr>
        <w:spacing w:line="259" w:lineRule="auto"/>
        <w:jc w:val="both"/>
        <w:rPr>
          <w:rFonts w:ascii="Calibri" w:eastAsia="Calibri" w:hAnsi="Calibri" w:cs="Times New Roman"/>
          <w:sz w:val="22"/>
          <w:szCs w:val="22"/>
          <w:lang w:eastAsia="en-US"/>
        </w:rPr>
      </w:pPr>
      <w:r w:rsidRPr="00C343D3">
        <w:rPr>
          <w:rFonts w:ascii="Calibri" w:eastAsia="Calibri" w:hAnsi="Calibri" w:cs="Times New Roman"/>
          <w:sz w:val="22"/>
          <w:szCs w:val="22"/>
          <w:lang w:eastAsia="en-US"/>
        </w:rPr>
        <w:t>Choosing GCC means partnering with a dedicated ally committed to Santa Cruz’s full recovery and future resilience.</w:t>
      </w:r>
    </w:p>
    <w:p w14:paraId="7D8B8525" w14:textId="77777777" w:rsidR="00C343D3" w:rsidRPr="00C343D3" w:rsidRDefault="00C343D3" w:rsidP="00C343D3">
      <w:pPr>
        <w:spacing w:after="0" w:line="259" w:lineRule="auto"/>
        <w:jc w:val="both"/>
        <w:rPr>
          <w:rFonts w:ascii="Calibri" w:eastAsia="Calibri" w:hAnsi="Calibri" w:cs="Times New Roman"/>
          <w:b/>
          <w:bCs/>
          <w:sz w:val="22"/>
          <w:szCs w:val="22"/>
          <w:lang w:eastAsia="en-US"/>
        </w:rPr>
      </w:pPr>
      <w:r w:rsidRPr="00C343D3">
        <w:rPr>
          <w:rFonts w:ascii="Calibri" w:eastAsia="Calibri" w:hAnsi="Calibri" w:cs="Times New Roman"/>
          <w:b/>
          <w:bCs/>
          <w:sz w:val="22"/>
          <w:szCs w:val="22"/>
          <w:lang w:eastAsia="en-US"/>
        </w:rPr>
        <w:t>PROVEN EXPERTISE AND EXPERIENCE</w:t>
      </w:r>
    </w:p>
    <w:p w14:paraId="6C7FDC6B" w14:textId="77777777" w:rsidR="00C343D3" w:rsidRPr="00C343D3" w:rsidRDefault="00C343D3" w:rsidP="00C343D3">
      <w:pPr>
        <w:spacing w:line="259" w:lineRule="auto"/>
        <w:jc w:val="both"/>
        <w:rPr>
          <w:rFonts w:ascii="Calibri" w:eastAsia="Calibri" w:hAnsi="Calibri" w:cs="Times New Roman"/>
          <w:sz w:val="22"/>
          <w:szCs w:val="22"/>
          <w:lang w:eastAsia="en-US"/>
        </w:rPr>
      </w:pPr>
      <w:r w:rsidRPr="00C343D3">
        <w:rPr>
          <w:rFonts w:ascii="Calibri" w:eastAsia="Calibri" w:hAnsi="Calibri" w:cs="Times New Roman"/>
          <w:sz w:val="22"/>
          <w:szCs w:val="22"/>
          <w:lang w:eastAsia="en-US"/>
        </w:rPr>
        <w:t>GCC has a strong track record of managing complex disaster recovery projects. Our extensive experience with federal and state aid programs ensures compliance with all regulations and maximizes cost recovery for our clients.</w:t>
      </w:r>
    </w:p>
    <w:p w14:paraId="0037D801" w14:textId="77777777" w:rsidR="00C343D3" w:rsidRPr="00C343D3" w:rsidRDefault="00C343D3" w:rsidP="00C343D3">
      <w:pPr>
        <w:spacing w:after="0" w:line="259" w:lineRule="auto"/>
        <w:jc w:val="both"/>
        <w:rPr>
          <w:rFonts w:ascii="Calibri" w:eastAsia="Calibri" w:hAnsi="Calibri" w:cs="Times New Roman"/>
          <w:b/>
          <w:bCs/>
          <w:sz w:val="22"/>
          <w:szCs w:val="22"/>
          <w:lang w:eastAsia="en-US"/>
        </w:rPr>
      </w:pPr>
      <w:r w:rsidRPr="00C343D3">
        <w:rPr>
          <w:rFonts w:ascii="Calibri" w:eastAsia="Calibri" w:hAnsi="Calibri" w:cs="Times New Roman"/>
          <w:b/>
          <w:bCs/>
          <w:sz w:val="22"/>
          <w:szCs w:val="22"/>
          <w:lang w:eastAsia="en-US"/>
        </w:rPr>
        <w:t>PERSONAL COMMITMENT</w:t>
      </w:r>
    </w:p>
    <w:p w14:paraId="79665DD3" w14:textId="77777777" w:rsidR="00C343D3" w:rsidRPr="00C343D3" w:rsidRDefault="00C343D3" w:rsidP="00C343D3">
      <w:pPr>
        <w:spacing w:line="259" w:lineRule="auto"/>
        <w:jc w:val="both"/>
        <w:rPr>
          <w:rFonts w:ascii="Calibri" w:eastAsia="Calibri" w:hAnsi="Calibri" w:cs="Times New Roman"/>
          <w:sz w:val="22"/>
          <w:szCs w:val="22"/>
          <w:lang w:eastAsia="en-US"/>
        </w:rPr>
      </w:pPr>
      <w:r w:rsidRPr="00C343D3">
        <w:rPr>
          <w:rFonts w:ascii="Calibri" w:eastAsia="Calibri" w:hAnsi="Calibri" w:cs="Times New Roman"/>
          <w:sz w:val="22"/>
          <w:szCs w:val="22"/>
          <w:lang w:eastAsia="en-US"/>
        </w:rPr>
        <w:t>Our team’s deep personal investment in Santa Cruz’s well-being drives us to deliver compassionate, community-focused recovery solutions. We understand the unique challenges faced by the city and are dedicated to addressing them with empathy and precision.</w:t>
      </w:r>
    </w:p>
    <w:p w14:paraId="672A6216" w14:textId="77777777" w:rsidR="00C343D3" w:rsidRPr="00C343D3" w:rsidRDefault="00C343D3" w:rsidP="00C343D3">
      <w:pPr>
        <w:spacing w:after="0" w:line="259" w:lineRule="auto"/>
        <w:jc w:val="both"/>
        <w:rPr>
          <w:rFonts w:ascii="Calibri" w:eastAsia="Calibri" w:hAnsi="Calibri" w:cs="Times New Roman"/>
          <w:b/>
          <w:bCs/>
          <w:sz w:val="22"/>
          <w:szCs w:val="22"/>
          <w:lang w:eastAsia="en-US"/>
        </w:rPr>
      </w:pPr>
      <w:r w:rsidRPr="00C343D3">
        <w:rPr>
          <w:rFonts w:ascii="Calibri" w:eastAsia="Calibri" w:hAnsi="Calibri" w:cs="Times New Roman"/>
          <w:b/>
          <w:bCs/>
          <w:sz w:val="22"/>
          <w:szCs w:val="22"/>
          <w:lang w:eastAsia="en-US"/>
        </w:rPr>
        <w:t>STRATEGIC COLLABORATION</w:t>
      </w:r>
    </w:p>
    <w:p w14:paraId="6001C693" w14:textId="77777777" w:rsidR="00C343D3" w:rsidRPr="00C343D3" w:rsidRDefault="00C343D3" w:rsidP="00C343D3">
      <w:pPr>
        <w:spacing w:line="259" w:lineRule="auto"/>
        <w:jc w:val="both"/>
        <w:rPr>
          <w:rFonts w:ascii="Calibri" w:eastAsia="Calibri" w:hAnsi="Calibri" w:cs="Times New Roman"/>
          <w:sz w:val="22"/>
          <w:szCs w:val="22"/>
          <w:lang w:eastAsia="en-US"/>
        </w:rPr>
      </w:pPr>
      <w:r w:rsidRPr="00C343D3">
        <w:rPr>
          <w:rFonts w:ascii="Calibri" w:eastAsia="Calibri" w:hAnsi="Calibri" w:cs="Times New Roman"/>
          <w:sz w:val="22"/>
          <w:szCs w:val="22"/>
          <w:lang w:eastAsia="en-US"/>
        </w:rPr>
        <w:t>We prioritize collaboration with local authorities, community organizations, and residents. Our approach involves tailoring recovery efforts to meet Santa Cruz's specific needs and aspirations, fostering a sense of unity and shared purpose in rebuilding efforts.</w:t>
      </w:r>
    </w:p>
    <w:p w14:paraId="3F2BD469" w14:textId="77777777" w:rsidR="00C343D3" w:rsidRPr="00C343D3" w:rsidRDefault="00C343D3" w:rsidP="00C343D3">
      <w:pPr>
        <w:spacing w:after="0" w:line="259" w:lineRule="auto"/>
        <w:jc w:val="both"/>
        <w:rPr>
          <w:rFonts w:ascii="Calibri" w:eastAsia="Calibri" w:hAnsi="Calibri" w:cs="Times New Roman"/>
          <w:b/>
          <w:bCs/>
          <w:sz w:val="22"/>
          <w:szCs w:val="22"/>
          <w:lang w:eastAsia="en-US"/>
        </w:rPr>
      </w:pPr>
      <w:r w:rsidRPr="00C343D3">
        <w:rPr>
          <w:rFonts w:ascii="Calibri" w:eastAsia="Calibri" w:hAnsi="Calibri" w:cs="Times New Roman"/>
          <w:b/>
          <w:bCs/>
          <w:sz w:val="22"/>
          <w:szCs w:val="22"/>
          <w:lang w:eastAsia="en-US"/>
        </w:rPr>
        <w:t>GCC’S COMMITMENT</w:t>
      </w:r>
    </w:p>
    <w:p w14:paraId="0F80A646" w14:textId="77777777" w:rsidR="00C343D3" w:rsidRPr="00C343D3" w:rsidRDefault="00C343D3" w:rsidP="00C343D3">
      <w:pPr>
        <w:spacing w:after="0" w:line="259" w:lineRule="auto"/>
        <w:jc w:val="both"/>
        <w:rPr>
          <w:rFonts w:ascii="Calibri" w:eastAsia="Calibri" w:hAnsi="Calibri" w:cs="Times New Roman"/>
          <w:sz w:val="22"/>
          <w:szCs w:val="22"/>
          <w:lang w:eastAsia="en-US"/>
        </w:rPr>
      </w:pPr>
      <w:r w:rsidRPr="00C343D3">
        <w:rPr>
          <w:rFonts w:ascii="Calibri" w:eastAsia="Calibri" w:hAnsi="Calibri" w:cs="Times New Roman"/>
          <w:sz w:val="22"/>
          <w:szCs w:val="22"/>
          <w:lang w:eastAsia="en-US"/>
        </w:rPr>
        <w:t>At GCC, we believe in a recovery process that is efficient, effective, and profoundly empathetic. Our commitments include:</w:t>
      </w:r>
    </w:p>
    <w:p w14:paraId="55779502" w14:textId="77777777" w:rsidR="00C343D3" w:rsidRPr="00C343D3" w:rsidRDefault="00C343D3" w:rsidP="00C343D3">
      <w:pPr>
        <w:numPr>
          <w:ilvl w:val="0"/>
          <w:numId w:val="1"/>
        </w:numPr>
        <w:spacing w:after="0" w:line="259" w:lineRule="auto"/>
        <w:ind w:left="360"/>
        <w:jc w:val="both"/>
        <w:rPr>
          <w:rFonts w:ascii="Calibri" w:eastAsia="Calibri" w:hAnsi="Calibri" w:cs="Times New Roman"/>
          <w:sz w:val="22"/>
          <w:szCs w:val="22"/>
          <w:lang w:eastAsia="en-US"/>
        </w:rPr>
      </w:pPr>
      <w:r w:rsidRPr="00C343D3">
        <w:rPr>
          <w:rFonts w:ascii="Calibri" w:eastAsia="Calibri" w:hAnsi="Calibri" w:cs="Times New Roman"/>
          <w:b/>
          <w:bCs/>
          <w:sz w:val="22"/>
          <w:szCs w:val="22"/>
          <w:lang w:eastAsia="en-US"/>
        </w:rPr>
        <w:t>Supporting Community Resilience:</w:t>
      </w:r>
      <w:r w:rsidRPr="00C343D3">
        <w:rPr>
          <w:rFonts w:ascii="Calibri" w:eastAsia="Calibri" w:hAnsi="Calibri" w:cs="Times New Roman"/>
          <w:sz w:val="22"/>
          <w:szCs w:val="22"/>
          <w:lang w:eastAsia="en-US"/>
        </w:rPr>
        <w:t xml:space="preserve"> Through strategic planning and resource allocation, we help build stronger foundations for the future.</w:t>
      </w:r>
    </w:p>
    <w:p w14:paraId="679C55CD" w14:textId="77777777" w:rsidR="00C343D3" w:rsidRPr="00C343D3" w:rsidRDefault="00C343D3" w:rsidP="00C343D3">
      <w:pPr>
        <w:numPr>
          <w:ilvl w:val="0"/>
          <w:numId w:val="1"/>
        </w:numPr>
        <w:spacing w:after="0" w:line="259" w:lineRule="auto"/>
        <w:ind w:left="360"/>
        <w:jc w:val="both"/>
        <w:rPr>
          <w:rFonts w:ascii="Calibri" w:eastAsia="Calibri" w:hAnsi="Calibri" w:cs="Times New Roman"/>
          <w:sz w:val="22"/>
          <w:szCs w:val="22"/>
          <w:lang w:eastAsia="en-US"/>
        </w:rPr>
      </w:pPr>
      <w:r w:rsidRPr="00C343D3">
        <w:rPr>
          <w:rFonts w:ascii="Calibri" w:eastAsia="Calibri" w:hAnsi="Calibri" w:cs="Times New Roman"/>
          <w:b/>
          <w:bCs/>
          <w:sz w:val="22"/>
          <w:szCs w:val="22"/>
          <w:lang w:eastAsia="en-US"/>
        </w:rPr>
        <w:t>Ensuring Transparency and Accountability:</w:t>
      </w:r>
      <w:r w:rsidRPr="00C343D3">
        <w:rPr>
          <w:rFonts w:ascii="Calibri" w:eastAsia="Calibri" w:hAnsi="Calibri" w:cs="Times New Roman"/>
          <w:sz w:val="22"/>
          <w:szCs w:val="22"/>
          <w:lang w:eastAsia="en-US"/>
        </w:rPr>
        <w:t xml:space="preserve"> Our rigorous approach to documentation and compliance ensures clear, accountable processes.</w:t>
      </w:r>
    </w:p>
    <w:p w14:paraId="73947EC6" w14:textId="77777777" w:rsidR="00C343D3" w:rsidRPr="00C343D3" w:rsidRDefault="00C343D3" w:rsidP="00C343D3">
      <w:pPr>
        <w:numPr>
          <w:ilvl w:val="0"/>
          <w:numId w:val="1"/>
        </w:numPr>
        <w:spacing w:line="259" w:lineRule="auto"/>
        <w:ind w:left="360"/>
        <w:jc w:val="both"/>
        <w:rPr>
          <w:rFonts w:ascii="Calibri" w:eastAsia="Calibri" w:hAnsi="Calibri" w:cs="Times New Roman"/>
          <w:sz w:val="22"/>
          <w:szCs w:val="22"/>
          <w:lang w:eastAsia="en-US"/>
        </w:rPr>
      </w:pPr>
      <w:r w:rsidRPr="00C343D3">
        <w:rPr>
          <w:rFonts w:ascii="Calibri" w:eastAsia="Calibri" w:hAnsi="Calibri" w:cs="Times New Roman"/>
          <w:b/>
          <w:bCs/>
          <w:sz w:val="22"/>
          <w:szCs w:val="22"/>
          <w:lang w:eastAsia="en-US"/>
        </w:rPr>
        <w:t>Providing Ongoing Support:</w:t>
      </w:r>
      <w:r w:rsidRPr="00C343D3">
        <w:rPr>
          <w:rFonts w:ascii="Calibri" w:eastAsia="Calibri" w:hAnsi="Calibri" w:cs="Times New Roman"/>
          <w:sz w:val="22"/>
          <w:szCs w:val="22"/>
          <w:lang w:eastAsia="en-US"/>
        </w:rPr>
        <w:t xml:space="preserve"> We offer technical assistance and support to ensure a seamless transition from recovery to long-term sustainability.</w:t>
      </w:r>
    </w:p>
    <w:p w14:paraId="737876E0" w14:textId="40AD6604" w:rsidR="00E474FC" w:rsidRDefault="00C343D3" w:rsidP="00C343D3">
      <w:pPr>
        <w:spacing w:after="0" w:line="259" w:lineRule="auto"/>
        <w:jc w:val="both"/>
      </w:pPr>
      <w:r w:rsidRPr="00C343D3">
        <w:rPr>
          <w:rFonts w:ascii="Calibri" w:eastAsia="Calibri" w:hAnsi="Calibri" w:cs="Times New Roman"/>
          <w:sz w:val="22"/>
          <w:szCs w:val="22"/>
          <w:lang w:eastAsia="en-US"/>
        </w:rPr>
        <w:t xml:space="preserve">By choosing </w:t>
      </w:r>
      <w:proofErr w:type="spellStart"/>
      <w:r w:rsidRPr="00C343D3">
        <w:rPr>
          <w:rFonts w:ascii="Calibri" w:eastAsia="Calibri" w:hAnsi="Calibri" w:cs="Times New Roman"/>
          <w:sz w:val="22"/>
          <w:szCs w:val="22"/>
          <w:lang w:eastAsia="en-US"/>
        </w:rPr>
        <w:t>GrantCity</w:t>
      </w:r>
      <w:proofErr w:type="spellEnd"/>
      <w:r w:rsidRPr="00C343D3">
        <w:rPr>
          <w:rFonts w:ascii="Calibri" w:eastAsia="Calibri" w:hAnsi="Calibri" w:cs="Times New Roman"/>
          <w:sz w:val="22"/>
          <w:szCs w:val="22"/>
          <w:lang w:eastAsia="en-US"/>
        </w:rPr>
        <w:t xml:space="preserve"> Consulting, Santa Cruz gains a partner committed to efficient, effective, and compassionate recovery. Our expertise, dedication, and heartfelt commitment will ensure that the city not only recovers but also becomes more resilient and prepared for future challenges. We are eager to bring our experience and commitment to help Santa Cruz emerge stronger and more unified.</w:t>
      </w:r>
    </w:p>
    <w:sectPr w:rsidR="00E47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468pt;height:377.3pt" o:bullet="t">
        <v:imagedata r:id="rId1" o:title="GCC Circle Image"/>
      </v:shape>
    </w:pict>
  </w:numPicBullet>
  <w:abstractNum w:abstractNumId="0" w15:restartNumberingAfterBreak="0">
    <w:nsid w:val="28796765"/>
    <w:multiLevelType w:val="multilevel"/>
    <w:tmpl w:val="46220654"/>
    <w:lvl w:ilvl="0">
      <w:start w:val="1"/>
      <w:numFmt w:val="bullet"/>
      <w:lvlText w:val=""/>
      <w:lvlPicBulletId w:val="0"/>
      <w:lvlJc w:val="left"/>
      <w:pPr>
        <w:tabs>
          <w:tab w:val="num" w:pos="720"/>
        </w:tabs>
        <w:ind w:left="720" w:hanging="360"/>
      </w:pPr>
      <w:rPr>
        <w:rFonts w:ascii="Symbol" w:hAnsi="Symbol" w:hint="default"/>
        <w:color w:val="auto"/>
        <w:sz w:val="20"/>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3688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D3"/>
    <w:rsid w:val="000A46BB"/>
    <w:rsid w:val="00A84A7F"/>
    <w:rsid w:val="00C343D3"/>
    <w:rsid w:val="00CC5C7F"/>
    <w:rsid w:val="00D25B61"/>
    <w:rsid w:val="00D9671E"/>
    <w:rsid w:val="00E474FC"/>
    <w:rsid w:val="00EB0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B0E7"/>
  <w15:chartTrackingRefBased/>
  <w15:docId w15:val="{8ACC0637-688C-44CD-BCC4-6EF4A4365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4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3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3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3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3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3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3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4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3D3"/>
    <w:rPr>
      <w:rFonts w:eastAsiaTheme="majorEastAsia" w:cstheme="majorBidi"/>
      <w:color w:val="272727" w:themeColor="text1" w:themeTint="D8"/>
    </w:rPr>
  </w:style>
  <w:style w:type="paragraph" w:styleId="Title">
    <w:name w:val="Title"/>
    <w:basedOn w:val="Normal"/>
    <w:next w:val="Normal"/>
    <w:link w:val="TitleChar"/>
    <w:uiPriority w:val="10"/>
    <w:qFormat/>
    <w:rsid w:val="00C343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3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3D3"/>
    <w:pPr>
      <w:spacing w:before="160"/>
      <w:jc w:val="center"/>
    </w:pPr>
    <w:rPr>
      <w:i/>
      <w:iCs/>
      <w:color w:val="404040" w:themeColor="text1" w:themeTint="BF"/>
    </w:rPr>
  </w:style>
  <w:style w:type="character" w:customStyle="1" w:styleId="QuoteChar">
    <w:name w:val="Quote Char"/>
    <w:basedOn w:val="DefaultParagraphFont"/>
    <w:link w:val="Quote"/>
    <w:uiPriority w:val="29"/>
    <w:rsid w:val="00C343D3"/>
    <w:rPr>
      <w:i/>
      <w:iCs/>
      <w:color w:val="404040" w:themeColor="text1" w:themeTint="BF"/>
    </w:rPr>
  </w:style>
  <w:style w:type="paragraph" w:styleId="ListParagraph">
    <w:name w:val="List Paragraph"/>
    <w:basedOn w:val="Normal"/>
    <w:uiPriority w:val="34"/>
    <w:qFormat/>
    <w:rsid w:val="00C343D3"/>
    <w:pPr>
      <w:ind w:left="720"/>
      <w:contextualSpacing/>
    </w:pPr>
  </w:style>
  <w:style w:type="character" w:styleId="IntenseEmphasis">
    <w:name w:val="Intense Emphasis"/>
    <w:basedOn w:val="DefaultParagraphFont"/>
    <w:uiPriority w:val="21"/>
    <w:qFormat/>
    <w:rsid w:val="00C343D3"/>
    <w:rPr>
      <w:i/>
      <w:iCs/>
      <w:color w:val="0F4761" w:themeColor="accent1" w:themeShade="BF"/>
    </w:rPr>
  </w:style>
  <w:style w:type="paragraph" w:styleId="IntenseQuote">
    <w:name w:val="Intense Quote"/>
    <w:basedOn w:val="Normal"/>
    <w:next w:val="Normal"/>
    <w:link w:val="IntenseQuoteChar"/>
    <w:uiPriority w:val="30"/>
    <w:qFormat/>
    <w:rsid w:val="00C34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3D3"/>
    <w:rPr>
      <w:i/>
      <w:iCs/>
      <w:color w:val="0F4761" w:themeColor="accent1" w:themeShade="BF"/>
    </w:rPr>
  </w:style>
  <w:style w:type="character" w:styleId="IntenseReference">
    <w:name w:val="Intense Reference"/>
    <w:basedOn w:val="DefaultParagraphFont"/>
    <w:uiPriority w:val="32"/>
    <w:qFormat/>
    <w:rsid w:val="00C343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Chouchane, Amor</dc:creator>
  <cp:keywords/>
  <dc:description/>
  <cp:lastModifiedBy>Chouchane, Amor</cp:lastModifiedBy>
  <cp:revision>1</cp:revision>
  <dcterms:created xsi:type="dcterms:W3CDTF">2024-06-13T14:52:00Z</dcterms:created>
  <dcterms:modified xsi:type="dcterms:W3CDTF">2024-06-13T14:52:00Z</dcterms:modified>
</cp:coreProperties>
</file>