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00"/>
        <w:jc w:val="center"/>
      </w:pPr>
      <w:r>
        <w:rPr>
          <w:b/>
          <w:bCs/>
          <w:color w:val="C9A84C"/>
          <w:sz w:val="64"/>
          <w:szCs w:val="64"/>
        </w:rPr>
        <w:t xml:space="preserve">ONIX AI</w:t>
      </w:r>
    </w:p>
    <w:p>
      <w:pPr>
        <w:spacing w:after="200"/>
        <w:jc w:val="center"/>
      </w:pPr>
      <w:r>
        <w:rPr>
          <w:color w:val="555555"/>
          <w:sz w:val="32"/>
          <w:szCs w:val="32"/>
        </w:rPr>
        <w:t xml:space="preserve">MVP Platform — Project Handover Document</w:t>
      </w:r>
    </w:p>
    <w:p>
      <w:pPr>
        <w:spacing w:after="120"/>
        <w:jc w:val="center"/>
      </w:pPr>
      <w:r>
        <w:rPr>
          <w:color w:val="333333"/>
          <w:sz w:val="24"/>
          <w:szCs w:val="24"/>
        </w:rPr>
        <w:t xml:space="preserve">Prepared for: Robin Kumar S</w:t>
      </w:r>
    </w:p>
    <w:p>
      <w:pPr>
        <w:spacing w:after="120"/>
        <w:jc w:val="center"/>
      </w:pPr>
      <w:r>
        <w:rPr>
          <w:color w:val="333333"/>
          <w:sz w:val="24"/>
          <w:szCs w:val="24"/>
        </w:rPr>
        <w:t xml:space="preserve">Prepared by: Crawlers Technologies</w:t>
      </w:r>
    </w:p>
    <w:p>
      <w:pPr>
        <w:spacing w:after="120"/>
        <w:jc w:val="center"/>
      </w:pPr>
      <w:r>
        <w:rPr>
          <w:color w:val="333333"/>
          <w:sz w:val="24"/>
          <w:szCs w:val="24"/>
        </w:rPr>
        <w:t xml:space="preserve">Date: September 2026</w:t>
      </w:r>
    </w:p>
    <w:p>
      <w:r>
        <w:br w:type="page"/>
      </w:r>
    </w:p>
    <w:p>
      <w:pPr>
        <w:pStyle w:val="Heading1"/>
        <w:pBdr>
          <w:bottom w:val="single" w:color="C9A84C" w:sz="6" w:space="4"/>
        </w:pBdr>
        <w:spacing w:after="200" w:before="400"/>
      </w:pPr>
      <w:r>
        <w:t xml:space="preserve">1. Project Overview</w:t>
      </w:r>
    </w:p>
    <w:p>
      <w:pPr>
        <w:spacing w:after="120"/>
      </w:pPr>
      <w:r>
        <w:rPr>
          <w:sz w:val="22"/>
          <w:szCs w:val="22"/>
        </w:rPr>
        <w:t xml:space="preserve">ONIX AI is an AI-native M&amp;A and capital-raising platform built for investment advisors, boutique M&amp;A firms, and fund managers. The platform enables deal pipeline management, investor outreach tracking, AI-assisted advisory via GPT-4o, and workspace collaboration — all in a professional dark-themed interface.</w:t>
      </w:r>
    </w:p>
    <w:p>
      <w:pPr>
        <w:spacing w:after="160"/>
      </w:pP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0EDE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Live URL</w:t>
            </w:r>
          </w:p>
        </w:tc>
        <w:tc>
          <w:tcPr>
            <w:tcW w:type="dxa" w:w="6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https://www.onixai.co.in</w:t>
            </w:r>
          </w:p>
        </w:tc>
      </w:tr>
      <w:tr>
        <w:tc>
          <w:tcPr>
            <w:tcW w:type="dxa" w:w="2000"/>
            <w:shd w:fill="F0EDE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GitHub Repo</w:t>
            </w:r>
          </w:p>
        </w:tc>
        <w:tc>
          <w:tcPr>
            <w:tcW w:type="dxa" w:w="6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https://github.com/onix-ai1/Onix-ai</w:t>
            </w:r>
          </w:p>
        </w:tc>
      </w:tr>
      <w:tr>
        <w:tc>
          <w:tcPr>
            <w:tcW w:type="dxa" w:w="2000"/>
            <w:shd w:fill="F0EDE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Vercel Project</w:t>
            </w:r>
          </w:p>
        </w:tc>
        <w:tc>
          <w:tcPr>
            <w:tcW w:type="dxa" w:w="6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onix-ai-psi.vercel.app (auto-deploys on push to main)</w:t>
            </w:r>
          </w:p>
        </w:tc>
      </w:tr>
      <w:tr>
        <w:tc>
          <w:tcPr>
            <w:tcW w:type="dxa" w:w="2000"/>
            <w:shd w:fill="F0EDE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Supabase Project</w:t>
            </w:r>
          </w:p>
        </w:tc>
        <w:tc>
          <w:tcPr>
            <w:tcW w:type="dxa" w:w="6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zasgozkvkentumvjgkzx.supabase.co</w:t>
            </w:r>
          </w:p>
        </w:tc>
      </w:tr>
      <w:tr>
        <w:tc>
          <w:tcPr>
            <w:tcW w:type="dxa" w:w="2000"/>
            <w:shd w:fill="F0EDE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Stack</w:t>
            </w:r>
          </w:p>
        </w:tc>
        <w:tc>
          <w:tcPr>
            <w:tcW w:type="dxa" w:w="6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Next.js 14 · TypeScript · Tailwind CSS · Supabase · OpenAI</w:t>
            </w:r>
          </w:p>
        </w:tc>
      </w:tr>
      <w:tr>
        <w:tc>
          <w:tcPr>
            <w:tcW w:type="dxa" w:w="2000"/>
            <w:shd w:fill="F0EDE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Email Provider</w:t>
            </w:r>
          </w:p>
        </w:tc>
        <w:tc>
          <w:tcPr>
            <w:tcW w:type="dxa" w:w="6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Resend SMTP (noreply@onixai.co.in)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C9A84C" w:sz="6" w:space="4"/>
        </w:pBdr>
        <w:spacing w:after="200" w:before="400"/>
      </w:pPr>
      <w:r>
        <w:t xml:space="preserve">2. Features Delivered</w:t>
      </w:r>
    </w:p>
    <w:p>
      <w:pPr>
        <w:pStyle w:val="Heading2"/>
        <w:spacing w:after="120" w:before="300"/>
      </w:pPr>
      <w:r>
        <w:t xml:space="preserve">2.1 Landing Page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Animated hero with custom cursor, ticker, and scroll effects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Responsive navigation with Login / Sign Up links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Auto-detects logged-in state — shows "Go to Dashboard" for authenticated users</w:t>
      </w:r>
    </w:p>
    <w:p>
      <w:pPr>
        <w:spacing w:after="160"/>
      </w:pPr>
    </w:p>
    <w:p>
      <w:pPr>
        <w:pStyle w:val="Heading2"/>
        <w:spacing w:after="120" w:before="300"/>
      </w:pPr>
      <w:r>
        <w:t xml:space="preserve">2.2 Authentication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Email/password sign-up with Supabase Auth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Confirmation email sent via Resend SMTP from noreply@onixai.co.in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Password reveal toggles on login and register pages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Session auto-refresh and logout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Protected routes via Next.js middleware</w:t>
      </w:r>
    </w:p>
    <w:p>
      <w:pPr>
        <w:spacing w:after="160"/>
      </w:pPr>
    </w:p>
    <w:p>
      <w:pPr>
        <w:pStyle w:val="Heading2"/>
        <w:spacing w:after="120" w:before="300"/>
      </w:pPr>
      <w:r>
        <w:t xml:space="preserve">2.3 Onboarding Wizard (4 steps)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Step 1 — Role selection (Advisor, Fund Manager, Corporate, etc.)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Step 2 — Company details (name, industry, team size, website)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Step 3 — Deal goals (multi-select)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Step 4 — Review and confirm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Saves workspace data and marks onboarding_complete in user profile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Shows only once — completed users are redirected to dashboard automatically</w:t>
      </w:r>
    </w:p>
    <w:p>
      <w:pPr>
        <w:spacing w:after="160"/>
      </w:pPr>
    </w:p>
    <w:p>
      <w:pPr>
        <w:pStyle w:val="Heading2"/>
        <w:spacing w:after="120" w:before="300"/>
      </w:pPr>
      <w:r>
        <w:t xml:space="preserve">2.4 Dashboard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4 metric cards: Active Deals, Total Value, Avg Fit Score, Closed This Month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Deal Stages breakdown (Diagnose → Prepare → Match → Outreach → Close)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Pipeline Overview table with recent deals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Investment Readiness widget — dynamic, calculated from real deal data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Recent activity feed</w:t>
      </w:r>
    </w:p>
    <w:p>
      <w:pPr>
        <w:spacing w:after="160"/>
      </w:pPr>
    </w:p>
    <w:p>
      <w:pPr>
        <w:pStyle w:val="Heading2"/>
        <w:spacing w:after="120" w:before="300"/>
      </w:pPr>
      <w:r>
        <w:t xml:space="preserve">2.5 Deal Pipeline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Add, edit, and delete deals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Fields: name, sector, stage, value, fit score, status, notes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Stage filter, search, and sorting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Colour-coded fit scores and stage badges</w:t>
      </w:r>
    </w:p>
    <w:p>
      <w:pPr>
        <w:spacing w:after="160"/>
      </w:pPr>
    </w:p>
    <w:p>
      <w:pPr>
        <w:pStyle w:val="Heading2"/>
        <w:spacing w:after="120" w:before="300"/>
      </w:pPr>
      <w:r>
        <w:t xml:space="preserve">2.6 Investors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Add and manage investor profiles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Fields: name, type, AUM, geography, sectors, status, email, website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Search and filter by type/status</w:t>
      </w:r>
    </w:p>
    <w:p>
      <w:pPr>
        <w:spacing w:after="160"/>
      </w:pPr>
    </w:p>
    <w:p>
      <w:pPr>
        <w:pStyle w:val="Heading2"/>
        <w:spacing w:after="120" w:before="300"/>
      </w:pPr>
      <w:r>
        <w:t xml:space="preserve">2.7 Outreach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Log outreach to contacts linked to deals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Status workflow: Draft → Sent → Replied → No Response → Meeting Set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Revenue Projection 2026 chart — dynamic, calculated from deal pipeline values weighted by stage probability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Reply rate metric and meeting count</w:t>
      </w:r>
    </w:p>
    <w:p>
      <w:pPr>
        <w:spacing w:after="160"/>
      </w:pPr>
    </w:p>
    <w:p>
      <w:pPr>
        <w:pStyle w:val="Heading2"/>
        <w:spacing w:after="120" w:before="300"/>
      </w:pPr>
      <w:r>
        <w:t xml:space="preserve">2.8 AI Co-Pilot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Powered by GPT-4o (via OpenAI API)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Streaming responses with typing animation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Full deal context injected into every conversation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Persistent chat history — saved to Supabase, accessible across sessions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Sidebar with past conversations, new chat button, delete chat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6 suggested prompts on empty state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Mobile-responsive with overlay sidebar on small screens</w:t>
      </w:r>
    </w:p>
    <w:p>
      <w:pPr>
        <w:spacing w:after="160"/>
      </w:pPr>
    </w:p>
    <w:p>
      <w:pPr>
        <w:pStyle w:val="Heading2"/>
        <w:spacing w:after="120" w:before="300"/>
      </w:pPr>
      <w:r>
        <w:t xml:space="preserve">2.9 Workspace Settings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Edit workspace name, description, company, industry, team size, website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Invite team members by email with role selection (Admin, Editor, Viewer)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Remove team members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Delete workspace with confirmation dialog (type workspace name to confirm)</w:t>
      </w:r>
    </w:p>
    <w:p>
      <w:pPr>
        <w:spacing w:after="160"/>
      </w:pPr>
    </w:p>
    <w:p>
      <w:pPr>
        <w:pStyle w:val="Heading2"/>
        <w:spacing w:after="120" w:before="300"/>
      </w:pPr>
      <w:r>
        <w:t xml:space="preserve">2.10 Profile &amp; Settings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Edit full name and avatar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Dark / light theme toggle (persisted)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Account section with logout</w:t>
      </w:r>
    </w:p>
    <w:p>
      <w:pPr>
        <w:spacing w:after="160"/>
      </w:pPr>
    </w:p>
    <w:p>
      <w:pPr>
        <w:pStyle w:val="Heading2"/>
        <w:spacing w:after="120" w:before="300"/>
      </w:pPr>
      <w:r>
        <w:t xml:space="preserve">2.11 Infrastructure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Deployed on Vercel — auto-deploys on every push to main branch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Custom domain: www.onixai.co.in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All environment variables configured in Vercel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Supabase with Row Level Security (RLS) on all tables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Resend SMTP for transactional emails</w:t>
      </w:r>
    </w:p>
    <w:p>
      <w:pPr>
        <w:spacing w:after="160"/>
      </w:pPr>
    </w:p>
    <w:p>
      <w:r>
        <w:br w:type="page"/>
      </w:r>
    </w:p>
    <w:p>
      <w:pPr>
        <w:pStyle w:val="Heading1"/>
        <w:pBdr>
          <w:bottom w:val="single" w:color="C9A84C" w:sz="6" w:space="4"/>
        </w:pBdr>
        <w:spacing w:after="200" w:before="400"/>
      </w:pPr>
      <w:r>
        <w:t xml:space="preserve">3. Tech Stack &amp; Architecture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shd w:fill="F0EDE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2250"/>
            <w:shd w:fill="F0EDE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Technology</w:t>
            </w:r>
          </w:p>
        </w:tc>
        <w:tc>
          <w:tcPr>
            <w:tcW w:type="dxa" w:w="2250"/>
            <w:shd w:fill="F0EDE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2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dxa" w:w="2250"/>
            <w:shd w:fill="FAFA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Next.js 14 (App Router)</w:t>
            </w:r>
          </w:p>
        </w:tc>
        <w:tc>
          <w:tcPr>
            <w:tcW w:type="dxa" w:w="22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React framework with SSR/Edge</w:t>
            </w:r>
          </w:p>
        </w:tc>
      </w:tr>
      <w:tr>
        <w:trPr>
          <w:tblHeader w:val="false"/>
        </w:trPr>
        <w:tc>
          <w:tcPr>
            <w:tcW w:type="dxa" w:w="22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Language</w:t>
            </w:r>
          </w:p>
        </w:tc>
        <w:tc>
          <w:tcPr>
            <w:tcW w:type="dxa" w:w="2250"/>
            <w:shd w:fill="FAFA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TypeScript</w:t>
            </w:r>
          </w:p>
        </w:tc>
        <w:tc>
          <w:tcPr>
            <w:tcW w:type="dxa" w:w="22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Type safety</w:t>
            </w:r>
          </w:p>
        </w:tc>
      </w:tr>
      <w:tr>
        <w:trPr>
          <w:tblHeader w:val="false"/>
        </w:trPr>
        <w:tc>
          <w:tcPr>
            <w:tcW w:type="dxa" w:w="22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Styling</w:t>
            </w:r>
          </w:p>
        </w:tc>
        <w:tc>
          <w:tcPr>
            <w:tcW w:type="dxa" w:w="2250"/>
            <w:shd w:fill="FAFA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Tailwind CSS + CSS variables</w:t>
            </w:r>
          </w:p>
        </w:tc>
        <w:tc>
          <w:tcPr>
            <w:tcW w:type="dxa" w:w="22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13 Onix design tokens</w:t>
            </w:r>
          </w:p>
        </w:tc>
      </w:tr>
      <w:tr>
        <w:trPr>
          <w:tblHeader w:val="false"/>
        </w:trPr>
        <w:tc>
          <w:tcPr>
            <w:tcW w:type="dxa" w:w="22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Auth &amp; DB</w:t>
            </w:r>
          </w:p>
        </w:tc>
        <w:tc>
          <w:tcPr>
            <w:tcW w:type="dxa" w:w="2250"/>
            <w:shd w:fill="FAFA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Supabase</w:t>
            </w:r>
          </w:p>
        </w:tc>
        <w:tc>
          <w:tcPr>
            <w:tcW w:type="dxa" w:w="22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Auth, Postgres DB, RLS, Storage</w:t>
            </w:r>
          </w:p>
        </w:tc>
      </w:tr>
      <w:tr>
        <w:trPr>
          <w:tblHeader w:val="false"/>
        </w:trPr>
        <w:tc>
          <w:tcPr>
            <w:tcW w:type="dxa" w:w="22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AI</w:t>
            </w:r>
          </w:p>
        </w:tc>
        <w:tc>
          <w:tcPr>
            <w:tcW w:type="dxa" w:w="2250"/>
            <w:shd w:fill="FAFA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OpenAI GPT-4o</w:t>
            </w:r>
          </w:p>
        </w:tc>
        <w:tc>
          <w:tcPr>
            <w:tcW w:type="dxa" w:w="22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AI Co-Pilot streaming responses</w:t>
            </w:r>
          </w:p>
        </w:tc>
      </w:tr>
      <w:tr>
        <w:trPr>
          <w:tblHeader w:val="false"/>
        </w:trPr>
        <w:tc>
          <w:tcPr>
            <w:tcW w:type="dxa" w:w="22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 Fetching</w:t>
            </w:r>
          </w:p>
        </w:tc>
        <w:tc>
          <w:tcPr>
            <w:tcW w:type="dxa" w:w="2250"/>
            <w:shd w:fill="FAFA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TanStack React Query v5</w:t>
            </w:r>
          </w:p>
        </w:tc>
        <w:tc>
          <w:tcPr>
            <w:tcW w:type="dxa" w:w="22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Caching &amp; server state</w:t>
            </w:r>
          </w:p>
        </w:tc>
      </w:tr>
      <w:tr>
        <w:trPr>
          <w:tblHeader w:val="false"/>
        </w:trPr>
        <w:tc>
          <w:tcPr>
            <w:tcW w:type="dxa" w:w="22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W w:type="dxa" w:w="2250"/>
            <w:shd w:fill="FAFA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Resend SMTP</w:t>
            </w:r>
          </w:p>
        </w:tc>
        <w:tc>
          <w:tcPr>
            <w:tcW w:type="dxa" w:w="22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Transactional auth emails</w:t>
            </w:r>
          </w:p>
        </w:tc>
      </w:tr>
      <w:tr>
        <w:trPr>
          <w:tblHeader w:val="false"/>
        </w:trPr>
        <w:tc>
          <w:tcPr>
            <w:tcW w:type="dxa" w:w="22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250"/>
            <w:shd w:fill="FAFA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Vercel</w:t>
            </w:r>
          </w:p>
        </w:tc>
        <w:tc>
          <w:tcPr>
            <w:tcW w:type="dxa" w:w="22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CI/CD, CDN, Edge runtime</w:t>
            </w:r>
          </w:p>
        </w:tc>
      </w:tr>
      <w:tr>
        <w:trPr>
          <w:tblHeader w:val="false"/>
        </w:trPr>
        <w:tc>
          <w:tcPr>
            <w:tcW w:type="dxa" w:w="22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Domain</w:t>
            </w:r>
          </w:p>
        </w:tc>
        <w:tc>
          <w:tcPr>
            <w:tcW w:type="dxa" w:w="2250"/>
            <w:shd w:fill="FAFA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onixai.co.in</w:t>
            </w:r>
          </w:p>
        </w:tc>
        <w:tc>
          <w:tcPr>
            <w:tcW w:type="dxa" w:w="22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Custom domain via DNS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C9A84C" w:sz="6" w:space="4"/>
        </w:pBdr>
        <w:spacing w:after="200" w:before="400"/>
      </w:pPr>
      <w:r>
        <w:t xml:space="preserve">4. Database Schema (Supabase)</w:t>
      </w:r>
    </w:p>
    <w:p>
      <w:pPr>
        <w:pStyle w:val="Heading2"/>
        <w:spacing w:after="120" w:before="300"/>
      </w:pPr>
      <w:r>
        <w:t xml:space="preserve">Tables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shd w:fill="F0EDE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Table</w:t>
            </w:r>
          </w:p>
        </w:tc>
        <w:tc>
          <w:tcPr>
            <w:tcW w:type="dxa" w:w="2250"/>
            <w:shd w:fill="F0EDE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Key Columns</w:t>
            </w:r>
          </w:p>
        </w:tc>
        <w:tc>
          <w:tcPr>
            <w:tcW w:type="dxa" w:w="2250"/>
            <w:shd w:fill="F0EDE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RLS</w:t>
            </w:r>
          </w:p>
        </w:tc>
      </w:tr>
      <w:tr>
        <w:trPr>
          <w:tblHeader w:val="false"/>
        </w:trPr>
        <w:tc>
          <w:tcPr>
            <w:tcW w:type="dxa" w:w="22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profiles</w:t>
            </w:r>
          </w:p>
        </w:tc>
        <w:tc>
          <w:tcPr>
            <w:tcW w:type="dxa" w:w="2250"/>
            <w:shd w:fill="FAFA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id, full_name, avatar_url, onboarding_complete</w:t>
            </w:r>
          </w:p>
        </w:tc>
        <w:tc>
          <w:tcPr>
            <w:tcW w:type="dxa" w:w="22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owner only</w:t>
            </w:r>
          </w:p>
        </w:tc>
      </w:tr>
      <w:tr>
        <w:trPr>
          <w:tblHeader w:val="false"/>
        </w:trPr>
        <w:tc>
          <w:tcPr>
            <w:tcW w:type="dxa" w:w="22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workspaces</w:t>
            </w:r>
          </w:p>
        </w:tc>
        <w:tc>
          <w:tcPr>
            <w:tcW w:type="dxa" w:w="2250"/>
            <w:shd w:fill="FAFA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id, owner_id, name, company, industry, size, website</w:t>
            </w:r>
          </w:p>
        </w:tc>
        <w:tc>
          <w:tcPr>
            <w:tcW w:type="dxa" w:w="22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owner only</w:t>
            </w:r>
          </w:p>
        </w:tc>
      </w:tr>
      <w:tr>
        <w:trPr>
          <w:tblHeader w:val="false"/>
        </w:trPr>
        <w:tc>
          <w:tcPr>
            <w:tcW w:type="dxa" w:w="22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workspace_members</w:t>
            </w:r>
          </w:p>
        </w:tc>
        <w:tc>
          <w:tcPr>
            <w:tcW w:type="dxa" w:w="2250"/>
            <w:shd w:fill="FAFA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id, workspace_id, user_id, email, role</w:t>
            </w:r>
          </w:p>
        </w:tc>
        <w:tc>
          <w:tcPr>
            <w:tcW w:type="dxa" w:w="22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workspace owner</w:t>
            </w:r>
          </w:p>
        </w:tc>
      </w:tr>
      <w:tr>
        <w:trPr>
          <w:tblHeader w:val="false"/>
        </w:trPr>
        <w:tc>
          <w:tcPr>
            <w:tcW w:type="dxa" w:w="22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deals</w:t>
            </w:r>
          </w:p>
        </w:tc>
        <w:tc>
          <w:tcPr>
            <w:tcW w:type="dxa" w:w="2250"/>
            <w:shd w:fill="FAFA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id, user_id, name, sector, stage, value, fit_score, status</w:t>
            </w:r>
          </w:p>
        </w:tc>
        <w:tc>
          <w:tcPr>
            <w:tcW w:type="dxa" w:w="22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owner only</w:t>
            </w:r>
          </w:p>
        </w:tc>
      </w:tr>
      <w:tr>
        <w:trPr>
          <w:tblHeader w:val="false"/>
        </w:trPr>
        <w:tc>
          <w:tcPr>
            <w:tcW w:type="dxa" w:w="22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investors</w:t>
            </w:r>
          </w:p>
        </w:tc>
        <w:tc>
          <w:tcPr>
            <w:tcW w:type="dxa" w:w="2250"/>
            <w:shd w:fill="FAFA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id, user_id, name, type, aum, geography, sectors, status</w:t>
            </w:r>
          </w:p>
        </w:tc>
        <w:tc>
          <w:tcPr>
            <w:tcW w:type="dxa" w:w="22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owner only</w:t>
            </w:r>
          </w:p>
        </w:tc>
      </w:tr>
      <w:tr>
        <w:trPr>
          <w:tblHeader w:val="false"/>
        </w:trPr>
        <w:tc>
          <w:tcPr>
            <w:tcW w:type="dxa" w:w="22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outreach</w:t>
            </w:r>
          </w:p>
        </w:tc>
        <w:tc>
          <w:tcPr>
            <w:tcW w:type="dxa" w:w="2250"/>
            <w:shd w:fill="FAFA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id, user_id, contact_name, contact_email, deal_id, status</w:t>
            </w:r>
          </w:p>
        </w:tc>
        <w:tc>
          <w:tcPr>
            <w:tcW w:type="dxa" w:w="22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owner only</w:t>
            </w:r>
          </w:p>
        </w:tc>
      </w:tr>
      <w:tr>
        <w:trPr>
          <w:tblHeader w:val="false"/>
        </w:trPr>
        <w:tc>
          <w:tcPr>
            <w:tcW w:type="dxa" w:w="22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copilot_chats</w:t>
            </w:r>
          </w:p>
        </w:tc>
        <w:tc>
          <w:tcPr>
            <w:tcW w:type="dxa" w:w="2250"/>
            <w:shd w:fill="FAFA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id, user_id, title, messages (JSONB)</w:t>
            </w:r>
          </w:p>
        </w:tc>
        <w:tc>
          <w:tcPr>
            <w:tcW w:type="dxa" w:w="22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owner only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pBdr>
          <w:bottom w:val="single" w:color="C9A84C" w:sz="6" w:space="4"/>
        </w:pBdr>
        <w:spacing w:after="200" w:before="400"/>
      </w:pPr>
      <w:r>
        <w:t xml:space="preserve">5. Environment Variables</w:t>
      </w:r>
    </w:p>
    <w:p>
      <w:pPr>
        <w:spacing w:after="120"/>
      </w:pPr>
      <w:r>
        <w:rPr>
          <w:sz w:val="22"/>
          <w:szCs w:val="22"/>
        </w:rPr>
        <w:t xml:space="preserve">These are configured in Vercel (Settings → Environment Variables) and must also be in onix-app/.env.local for local development:</w:t>
      </w:r>
    </w:p>
    <w:p>
      <w:pPr>
        <w:spacing w:after="160"/>
      </w:pP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shd w:fill="F0EDE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type="dxa" w:w="2250"/>
            <w:shd w:fill="F0EDE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50"/>
            <w:shd w:fill="F0EDE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Where</w:t>
            </w:r>
          </w:p>
        </w:tc>
      </w:tr>
      <w:tr>
        <w:trPr>
          <w:tblHeader w:val="false"/>
        </w:trPr>
        <w:tc>
          <w:tcPr>
            <w:tcW w:type="dxa" w:w="22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NEXT_PUBLIC_SUPABASE_URL</w:t>
            </w:r>
          </w:p>
        </w:tc>
        <w:tc>
          <w:tcPr>
            <w:tcW w:type="dxa" w:w="2250"/>
            <w:shd w:fill="FAFA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Supabase project URL</w:t>
            </w:r>
          </w:p>
        </w:tc>
        <w:tc>
          <w:tcPr>
            <w:tcW w:type="dxa" w:w="22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Vercel + .env.local</w:t>
            </w:r>
          </w:p>
        </w:tc>
      </w:tr>
      <w:tr>
        <w:trPr>
          <w:tblHeader w:val="false"/>
        </w:trPr>
        <w:tc>
          <w:tcPr>
            <w:tcW w:type="dxa" w:w="22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NEXT_PUBLIC_SUPABASE_ANON_KEY</w:t>
            </w:r>
          </w:p>
        </w:tc>
        <w:tc>
          <w:tcPr>
            <w:tcW w:type="dxa" w:w="2250"/>
            <w:shd w:fill="FAFA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Supabase public anon key</w:t>
            </w:r>
          </w:p>
        </w:tc>
        <w:tc>
          <w:tcPr>
            <w:tcW w:type="dxa" w:w="22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Vercel + .env.local</w:t>
            </w:r>
          </w:p>
        </w:tc>
      </w:tr>
      <w:tr>
        <w:trPr>
          <w:tblHeader w:val="false"/>
        </w:trPr>
        <w:tc>
          <w:tcPr>
            <w:tcW w:type="dxa" w:w="22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OPENAI_API_KEY</w:t>
            </w:r>
          </w:p>
        </w:tc>
        <w:tc>
          <w:tcPr>
            <w:tcW w:type="dxa" w:w="2250"/>
            <w:shd w:fill="FAFA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OpenAI API key for Co-Pilot</w:t>
            </w:r>
          </w:p>
        </w:tc>
        <w:tc>
          <w:tcPr>
            <w:tcW w:type="dxa" w:w="22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Vercel + .env.local (server only)</w:t>
            </w:r>
          </w:p>
        </w:tc>
      </w:tr>
      <w:tr>
        <w:trPr>
          <w:tblHeader w:val="false"/>
        </w:trPr>
        <w:tc>
          <w:tcPr>
            <w:tcW w:type="dxa" w:w="22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RESEND_API_KEY</w:t>
            </w:r>
          </w:p>
        </w:tc>
        <w:tc>
          <w:tcPr>
            <w:tcW w:type="dxa" w:w="2250"/>
            <w:shd w:fill="FAFA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Resend API key for emails</w:t>
            </w:r>
          </w:p>
        </w:tc>
        <w:tc>
          <w:tcPr>
            <w:tcW w:type="dxa" w:w="22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Vercel + .env.local (server only)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C9A84C" w:sz="6" w:space="4"/>
        </w:pBdr>
        <w:spacing w:after="200" w:before="400"/>
      </w:pPr>
      <w:r>
        <w:t xml:space="preserve">6. Deployment &amp; CI/CD</w:t>
      </w:r>
    </w:p>
    <w:p>
      <w:pPr>
        <w:spacing w:after="120"/>
      </w:pPr>
      <w:r>
        <w:rPr>
          <w:sz w:val="22"/>
          <w:szCs w:val="22"/>
        </w:rPr>
        <w:t xml:space="preserve">Every push to the main branch on GitHub automatically triggers a Vercel deployment. No manual steps needed.</w:t>
      </w:r>
    </w:p>
    <w:p>
      <w:pPr>
        <w:spacing w:after="160"/>
      </w:pPr>
    </w:p>
    <w:p>
      <w:pPr>
        <w:pStyle w:val="Heading2"/>
        <w:spacing w:after="120" w:before="300"/>
      </w:pPr>
      <w:r>
        <w:t xml:space="preserve">To deploy a change:</w:t>
      </w:r>
    </w:p>
    <w:p>
      <w:pPr>
        <w:pBdr>
          <w:left w:val="single" w:color="C9A84C" w:sz="12" w:space="4"/>
        </w:pBdr>
        <w:shd w:fill="F5F5F5" w:color="auto" w:val="clear"/>
        <w:spacing w:after="80" w:before="80"/>
        <w:ind w:lef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add .</w:t>
      </w:r>
    </w:p>
    <w:p>
      <w:pPr>
        <w:pBdr>
          <w:left w:val="single" w:color="C9A84C" w:sz="12" w:space="4"/>
        </w:pBdr>
        <w:shd w:fill="F5F5F5" w:color="auto" w:val="clear"/>
        <w:spacing w:after="80" w:before="80"/>
        <w:ind w:lef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commit -m "description of change"</w:t>
      </w:r>
    </w:p>
    <w:p>
      <w:pPr>
        <w:pBdr>
          <w:left w:val="single" w:color="C9A84C" w:sz="12" w:space="4"/>
        </w:pBdr>
        <w:shd w:fill="F5F5F5" w:color="auto" w:val="clear"/>
        <w:spacing w:after="80" w:before="80"/>
        <w:ind w:lef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push origin main</w:t>
      </w:r>
    </w:p>
    <w:p>
      <w:pPr>
        <w:spacing w:after="120"/>
      </w:pPr>
      <w:r>
        <w:rPr>
          <w:color w:val="555555"/>
          <w:sz w:val="22"/>
          <w:szCs w:val="22"/>
        </w:rPr>
        <w:t xml:space="preserve">Vercel will build and deploy within ~2 minutes. Monitor at vercel.com/dashboard.</w:t>
      </w:r>
    </w:p>
    <w:p>
      <w:pPr>
        <w:spacing w:after="160"/>
      </w:pPr>
    </w:p>
    <w:p>
      <w:pPr>
        <w:pStyle w:val="Heading2"/>
        <w:spacing w:after="120" w:before="300"/>
      </w:pPr>
      <w:r>
        <w:t xml:space="preserve">To run locally:</w:t>
      </w:r>
    </w:p>
    <w:p>
      <w:pPr>
        <w:pBdr>
          <w:left w:val="single" w:color="C9A84C" w:sz="12" w:space="4"/>
        </w:pBdr>
        <w:shd w:fill="F5F5F5" w:color="auto" w:val="clear"/>
        <w:spacing w:after="80" w:before="80"/>
        <w:ind w:lef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onix-app</w:t>
      </w:r>
    </w:p>
    <w:p>
      <w:pPr>
        <w:pBdr>
          <w:left w:val="single" w:color="C9A84C" w:sz="12" w:space="4"/>
        </w:pBdr>
        <w:shd w:fill="F5F5F5" w:color="auto" w:val="clear"/>
        <w:spacing w:after="80" w:before="80"/>
        <w:ind w:lef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install</w:t>
      </w:r>
    </w:p>
    <w:p>
      <w:pPr>
        <w:pBdr>
          <w:left w:val="single" w:color="C9A84C" w:sz="12" w:space="4"/>
        </w:pBdr>
        <w:shd w:fill="F5F5F5" w:color="auto" w:val="clear"/>
        <w:spacing w:after="80" w:before="80"/>
        <w:ind w:lef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run dev</w:t>
      </w:r>
    </w:p>
    <w:p>
      <w:pPr>
        <w:spacing w:after="120"/>
      </w:pPr>
      <w:r>
        <w:rPr>
          <w:color w:val="555555"/>
          <w:sz w:val="22"/>
          <w:szCs w:val="22"/>
        </w:rPr>
        <w:t xml:space="preserve">App runs at http://localhost:3000</w:t>
      </w:r>
    </w:p>
    <w:p>
      <w:pPr>
        <w:spacing w:after="160"/>
      </w:pPr>
    </w:p>
    <w:p>
      <w:pPr>
        <w:pStyle w:val="Heading1"/>
        <w:pBdr>
          <w:bottom w:val="single" w:color="C9A84C" w:sz="6" w:space="4"/>
        </w:pBdr>
        <w:spacing w:after="200" w:before="400"/>
      </w:pPr>
      <w:r>
        <w:t xml:space="preserve">7. Third-Party Accounts &amp; Access</w:t>
      </w:r>
    </w:p>
    <w:p>
      <w:pPr>
        <w:spacing w:after="120"/>
      </w:pPr>
      <w:r>
        <w:rPr>
          <w:sz w:val="22"/>
          <w:szCs w:val="22"/>
        </w:rPr>
        <w:t xml:space="preserve">The following accounts need to be transferred to the client or credentials shared securely:</w:t>
      </w:r>
    </w:p>
    <w:p>
      <w:pPr>
        <w:spacing w:after="160"/>
      </w:pP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shd w:fill="F0EDE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Service</w:t>
            </w:r>
          </w:p>
        </w:tc>
        <w:tc>
          <w:tcPr>
            <w:tcW w:type="dxa" w:w="2250"/>
            <w:shd w:fill="F0EDE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2250"/>
            <w:shd w:fill="F0EDE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Action Required</w:t>
            </w:r>
          </w:p>
        </w:tc>
      </w:tr>
      <w:tr>
        <w:trPr>
          <w:tblHeader w:val="false"/>
        </w:trPr>
        <w:tc>
          <w:tcPr>
            <w:tcW w:type="dxa" w:w="22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Vercel</w:t>
            </w:r>
          </w:p>
        </w:tc>
        <w:tc>
          <w:tcPr>
            <w:tcW w:type="dxa" w:w="2250"/>
            <w:shd w:fill="FAFA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vercel.com</w:t>
            </w:r>
          </w:p>
        </w:tc>
        <w:tc>
          <w:tcPr>
            <w:tcW w:type="dxa" w:w="22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Transfer project ownership or add client as owner</w:t>
            </w:r>
          </w:p>
        </w:tc>
      </w:tr>
      <w:tr>
        <w:trPr>
          <w:tblHeader w:val="false"/>
        </w:trPr>
        <w:tc>
          <w:tcPr>
            <w:tcW w:type="dxa" w:w="22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Supabase</w:t>
            </w:r>
          </w:p>
        </w:tc>
        <w:tc>
          <w:tcPr>
            <w:tcW w:type="dxa" w:w="2250"/>
            <w:shd w:fill="FAFA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supabase.com</w:t>
            </w:r>
          </w:p>
        </w:tc>
        <w:tc>
          <w:tcPr>
            <w:tcW w:type="dxa" w:w="22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Transfer project ownership to client account</w:t>
            </w:r>
          </w:p>
        </w:tc>
      </w:tr>
      <w:tr>
        <w:trPr>
          <w:tblHeader w:val="false"/>
        </w:trPr>
        <w:tc>
          <w:tcPr>
            <w:tcW w:type="dxa" w:w="22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GitHub</w:t>
            </w:r>
          </w:p>
        </w:tc>
        <w:tc>
          <w:tcPr>
            <w:tcW w:type="dxa" w:w="2250"/>
            <w:shd w:fill="FAFA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github.com/onix-ai1/Onix-ai</w:t>
            </w:r>
          </w:p>
        </w:tc>
        <w:tc>
          <w:tcPr>
            <w:tcW w:type="dxa" w:w="22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Add client as repo owner or transfer</w:t>
            </w:r>
          </w:p>
        </w:tc>
      </w:tr>
      <w:tr>
        <w:trPr>
          <w:tblHeader w:val="false"/>
        </w:trPr>
        <w:tc>
          <w:tcPr>
            <w:tcW w:type="dxa" w:w="22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OpenAI</w:t>
            </w:r>
          </w:p>
        </w:tc>
        <w:tc>
          <w:tcPr>
            <w:tcW w:type="dxa" w:w="2250"/>
            <w:shd w:fill="FAFA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platform.openai.com</w:t>
            </w:r>
          </w:p>
        </w:tc>
        <w:tc>
          <w:tcPr>
            <w:tcW w:type="dxa" w:w="22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Client to use own API key (billing set up)</w:t>
            </w:r>
          </w:p>
        </w:tc>
      </w:tr>
      <w:tr>
        <w:trPr>
          <w:tblHeader w:val="false"/>
        </w:trPr>
        <w:tc>
          <w:tcPr>
            <w:tcW w:type="dxa" w:w="22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Resend</w:t>
            </w:r>
          </w:p>
        </w:tc>
        <w:tc>
          <w:tcPr>
            <w:tcW w:type="dxa" w:w="2250"/>
            <w:shd w:fill="FAFA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resend.com</w:t>
            </w:r>
          </w:p>
        </w:tc>
        <w:tc>
          <w:tcPr>
            <w:tcW w:type="dxa" w:w="22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Transfer account or share API key</w:t>
            </w:r>
          </w:p>
        </w:tc>
      </w:tr>
      <w:tr>
        <w:trPr>
          <w:tblHeader w:val="false"/>
        </w:trPr>
        <w:tc>
          <w:tcPr>
            <w:tcW w:type="dxa" w:w="22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Domain</w:t>
            </w:r>
          </w:p>
        </w:tc>
        <w:tc>
          <w:tcPr>
            <w:tcW w:type="dxa" w:w="2250"/>
            <w:shd w:fill="FAFA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onixai.co.in</w:t>
            </w:r>
          </w:p>
        </w:tc>
        <w:tc>
          <w:tcPr>
            <w:tcW w:type="dxa" w:w="22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Confirm DNS control with registrar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pBdr>
          <w:bottom w:val="single" w:color="C9A84C" w:sz="6" w:space="4"/>
        </w:pBdr>
        <w:spacing w:after="200" w:before="400"/>
      </w:pPr>
      <w:r>
        <w:t xml:space="preserve">8. Known Limitations &amp; Future Roadmap</w:t>
      </w:r>
    </w:p>
    <w:p>
      <w:pPr>
        <w:pStyle w:val="Heading2"/>
        <w:spacing w:after="120" w:before="300"/>
      </w:pPr>
      <w:r>
        <w:t xml:space="preserve">Current Limitations (MVP scope)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Investment Readiness scores use stage-based heuristics — not a formal scoring model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Revenue Projection is estimated from pipeline probability — not accounting-grade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No document upload or data room feature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No email sending from within the platform (outreach is logged manually)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Supabase free tier: 500MB DB, 2GB bandwidth — upgrade for production scale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OpenAI costs are per-token — monitor usage at platform.openai.com</w:t>
      </w:r>
    </w:p>
    <w:p>
      <w:pPr>
        <w:spacing w:after="160"/>
      </w:pPr>
    </w:p>
    <w:p>
      <w:pPr>
        <w:pStyle w:val="Heading2"/>
        <w:spacing w:after="120" w:before="300"/>
      </w:pPr>
      <w:r>
        <w:t xml:space="preserve">Recommended Next Phase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Document data room with file upload (Supabase Storage)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Email sending directly from Outreach page via Resend API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Deal scoring model with custom weightings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Reporting &amp; PDF export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Multi-workspace / team accounts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Storybook component library and 80% test coverage</w:t>
      </w:r>
    </w:p>
    <w:p>
      <w:pPr>
        <w:spacing w:after="160"/>
      </w:pPr>
    </w:p>
    <w:p>
      <w:pPr>
        <w:pStyle w:val="Heading1"/>
        <w:pBdr>
          <w:bottom w:val="single" w:color="C9A84C" w:sz="6" w:space="4"/>
        </w:pBdr>
        <w:spacing w:after="200" w:before="400"/>
      </w:pPr>
      <w:r>
        <w:t xml:space="preserve">9. Support &amp; Contacts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0EDE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Development Team</w:t>
            </w:r>
          </w:p>
        </w:tc>
        <w:tc>
          <w:tcPr>
            <w:tcW w:type="dxa" w:w="6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Crawlers Technologies</w:t>
            </w:r>
          </w:p>
        </w:tc>
      </w:tr>
      <w:tr>
        <w:tc>
          <w:tcPr>
            <w:tcW w:type="dxa" w:w="2000"/>
            <w:shd w:fill="F0EDE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Contact Email</w:t>
            </w:r>
          </w:p>
        </w:tc>
        <w:tc>
          <w:tcPr>
            <w:tcW w:type="dxa" w:w="6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tahur@crawlerstechnologies.com</w:t>
            </w:r>
          </w:p>
        </w:tc>
      </w:tr>
      <w:tr>
        <w:tc>
          <w:tcPr>
            <w:tcW w:type="dxa" w:w="2000"/>
            <w:shd w:fill="F0EDE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Supabase Docs</w:t>
            </w:r>
          </w:p>
        </w:tc>
        <w:tc>
          <w:tcPr>
            <w:tcW w:type="dxa" w:w="6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https://supabase.com/docs</w:t>
            </w:r>
          </w:p>
        </w:tc>
      </w:tr>
      <w:tr>
        <w:tc>
          <w:tcPr>
            <w:tcW w:type="dxa" w:w="2000"/>
            <w:shd w:fill="F0EDE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Vercel Docs</w:t>
            </w:r>
          </w:p>
        </w:tc>
        <w:tc>
          <w:tcPr>
            <w:tcW w:type="dxa" w:w="6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https://vercel.com/docs</w:t>
            </w:r>
          </w:p>
        </w:tc>
      </w:tr>
      <w:tr>
        <w:tc>
          <w:tcPr>
            <w:tcW w:type="dxa" w:w="2000"/>
            <w:shd w:fill="F0EDE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OpenAI Billing</w:t>
            </w:r>
          </w:p>
        </w:tc>
        <w:tc>
          <w:tcPr>
            <w:tcW w:type="dxa" w:w="6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https://platform.openai.com/usage</w:t>
            </w:r>
          </w:p>
        </w:tc>
      </w:tr>
      <w:tr>
        <w:tc>
          <w:tcPr>
            <w:tcW w:type="dxa" w:w="2000"/>
            <w:shd w:fill="F0EDE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Resend Dashboard</w:t>
            </w:r>
          </w:p>
        </w:tc>
        <w:tc>
          <w:tcPr>
            <w:tcW w:type="dxa" w:w="6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https://resend.com/dashboard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pBdr>
          <w:top w:val="single" w:color="E0E0E0" w:sz="4" w:space="8"/>
        </w:pBdr>
        <w:jc w:val="center"/>
      </w:pPr>
      <w:r>
        <w:rPr>
          <w:i/>
          <w:iCs/>
          <w:color w:val="999999"/>
          <w:sz w:val="18"/>
          <w:szCs w:val="18"/>
        </w:rPr>
        <w:t xml:space="preserve">ONIX AI MVP — Handover Document | Crawlers Technologies | September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2026-09-02T09:29:56.943Z</dcterms:created>
  <dcterms:modified xsi:type="dcterms:W3CDTF">2026-09-02T09:29:56.944Z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