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&lt;title&gt;Our Services | Onixchatai&lt;/title&gt;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font-family: 'Arial',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background: #f4f4f4;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padding: 2rem;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color: #333;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h1 { color: #111;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.service-box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background: white;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padding: 1rem;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margin-bottom: 1rem;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border-radius: 6px;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box-shadow: 0 0 5px rgba(0,0,0,0.1);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&lt;nav style="background:#000; padding: 1rem;"&gt;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&lt;a href="index.html" style="color:#fff; margin-right: 20px; text-decoration:none; font-weight:bold;"&gt;Home&lt;/a&gt;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&lt;a href="Servicesstyle.html" style="color:#fff; text-decoration:none; font-weight:bold;"&gt;Services&lt;/a&gt;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&lt;/nav&gt;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&lt;h1&gt;Our Services&lt;/h1&gt;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&lt;div class="service-box"&gt;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&lt;h2&gt;🤖 AI Chatbot Support&lt;/h2&gt;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&lt;p&gt;Automate customer chats, answer FAQs, and capture leads 24/7 using our intelligent chatbot system.&lt;/p&gt;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&lt;div class="service-box"&gt;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&lt;h2&gt;📱 Mobile Ordering&lt;/h2&gt;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&lt;p&gt;Enable your customers to browse, order, and pay directly from their mobile device — no app needed.&lt;/p&gt;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&lt;div class="service-box"&gt;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&lt;h2&gt;🌐 Web Presence Setup&lt;/h2&gt;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&lt;p&gt;We help you get online fast with a branded mobile-first website, chatbot, and e-commerce tools built-in.&lt;/p&gt;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