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4"/>
          <w:szCs w:val="34"/>
        </w:rPr>
        <w:t xml:space="preserve">E-Waste (Management) Rules, 2022 — Compliance Analysis</w:t>
      </w:r>
    </w:p>
    <w:p>
      <w:pPr>
        <w:spacing w:after="300"/>
        <w:jc w:val="center"/>
      </w:pPr>
      <w:r>
        <w:rPr>
          <w:i/>
          <w:iCs/>
          <w:sz w:val="24"/>
          <w:szCs w:val="24"/>
        </w:rPr>
        <w:t xml:space="preserve">Applied to 5 Indian Electronics Manufacturing Services (EMS) Companies</w:t>
      </w:r>
    </w:p>
    <w:p>
      <w:pPr>
        <w:pStyle w:val="Heading1"/>
        <w:spacing w:after="150" w:before="300"/>
      </w:pPr>
      <w:r>
        <w:t xml:space="preserve">1. Purpose &amp; Methodology</w:t>
      </w:r>
    </w:p>
    <w:p>
      <w:pPr>
        <w:spacing w:after="120"/>
      </w:pPr>
      <w:r>
        <w:t xml:space="preserve">This analysis is based on the Central Pollution Control Board's (CPCB) FAQ on the E-Waste (Management) Rules, 2022 and amendments thereafter. Five companies were selected from the "Top 10 Electronics Manufacturers in India" list (Dixon, Kaynes Technology, Syrma SGS, Tata Electronics, and Foxconn India).</w:t>
      </w:r>
    </w:p>
    <w:p>
      <w:pPr>
        <w:spacing w:after="120"/>
      </w:pPr>
      <w:r>
        <w:t xml:space="preserve">Important note on scope: Companies do not publicly disclose granular, rule-by-rule EPR compliance data (EPR Portal filings, recycler contracts, and audit records are not public documents). This report therefore does NOT claim that any company has violated a specific rule — no such claim can be verified from public sources. Instead, for each company it distinguishes:</w:t>
      </w:r>
    </w:p>
    <w:p>
      <w:pPr>
        <w:pStyle w:val="ListParagraph"/>
        <w:numPr>
          <w:ilvl w:val="0"/>
          <w:numId w:val="2"/>
        </w:numPr>
        <w:spacing w:after="60"/>
      </w:pPr>
      <w:r>
        <w:t xml:space="preserve">Likely followed / reasonably inferable — based on legal necessity for operating at their scale (e.g., registration is legally mandatory to sell EEE in India) or a company's own public disclosure.</w:t>
      </w:r>
    </w:p>
    <w:p>
      <w:pPr>
        <w:pStyle w:val="ListParagraph"/>
        <w:numPr>
          <w:ilvl w:val="0"/>
          <w:numId w:val="2"/>
        </w:numPr>
        <w:spacing w:after="60"/>
      </w:pPr>
      <w:r>
        <w:t xml:space="preserve">Not publicly disclosed — provisions where no public evidence was found either way. This should NOT be read as non-compliance; it reflects a lack of public data, which is normal since most EPR records are confidential/portal-only.</w:t>
      </w:r>
    </w:p>
    <w:p>
      <w:pPr>
        <w:spacing w:after="120"/>
      </w:pPr>
      <w:r>
        <w:t xml:space="preserve">For an academic assignment, you may relabel these two columns as "Rules Followed (evidenced)" and "Rules Where Compliance Could Not Be Verified" if your instructor expects that framing — this is more defensible than asserting actual violations.</w:t>
      </w:r>
    </w:p>
    <w:p>
      <w:pPr>
        <w:pStyle w:val="Heading1"/>
        <w:spacing w:after="150" w:before="300"/>
      </w:pPr>
      <w:r>
        <w:t xml:space="preserve">2. Key Provisions of the E-Waste (Management) Rules, 2022 (Source: CPCB FAQ)</w:t>
      </w:r>
    </w:p>
    <w:p>
      <w:pPr>
        <w:spacing w:after="120"/>
      </w:pPr>
      <w:r>
        <w:t xml:space="preserve">Summarised from the uploaded CPCB FAQ document:</w:t>
      </w:r>
    </w:p>
    <w:p>
      <w:pPr>
        <w:pStyle w:val="ListParagraph"/>
        <w:numPr>
          <w:ilvl w:val="0"/>
          <w:numId w:val="2"/>
        </w:numPr>
        <w:spacing w:after="60"/>
      </w:pPr>
      <w:r>
        <w:t xml:space="preserve">Extended Producer Responsibility (EPR) applies to Manufacturers, Producers, Refurbishers, Recyclers and Dismantlers of 106 EEE items across 7 categories (Schedule-I).</w:t>
      </w:r>
    </w:p>
    <w:p>
      <w:pPr>
        <w:pStyle w:val="ListParagraph"/>
        <w:numPr>
          <w:ilvl w:val="0"/>
          <w:numId w:val="2"/>
        </w:numPr>
        <w:spacing w:after="60"/>
      </w:pPr>
      <w:r>
        <w:t xml:space="preserve">Producers must register on the E-Waste EPR Portal and meet phased recycling targets: 60% (FY23-24 &amp; FY24-25), 70% (FY25-26 &amp; FY26-27), 80% (FY27-28 onwards).</w:t>
      </w:r>
    </w:p>
    <w:p>
      <w:pPr>
        <w:pStyle w:val="ListParagraph"/>
        <w:numPr>
          <w:ilvl w:val="0"/>
          <w:numId w:val="2"/>
        </w:numPr>
        <w:spacing w:after="60"/>
      </w:pPr>
      <w:r>
        <w:t xml:space="preserve">EPR obligations must be fulfilled by purchasing EPR Certificates only from CPCB-registered recyclers, generated against four end-products: gold, copper, aluminum, iron.</w:t>
      </w:r>
    </w:p>
    <w:p>
      <w:pPr>
        <w:pStyle w:val="ListParagraph"/>
        <w:numPr>
          <w:ilvl w:val="0"/>
          <w:numId w:val="2"/>
        </w:numPr>
        <w:spacing w:after="60"/>
      </w:pPr>
      <w:r>
        <w:t xml:space="preserve">RoHS: new EEE and components must stay below 0.1% (by weight) for Lead, Mercury, Hexavalent Chromium, PBB, PBDE, and 0.01% for Cadmium.</w:t>
      </w:r>
    </w:p>
    <w:p>
      <w:pPr>
        <w:pStyle w:val="ListParagraph"/>
        <w:numPr>
          <w:ilvl w:val="0"/>
          <w:numId w:val="2"/>
        </w:numPr>
        <w:spacing w:after="60"/>
      </w:pPr>
      <w:r>
        <w:t xml:space="preserve">Quarterly and Annual Returns are mandatory for Producers; records must be available for CPCB/SPCB audit.</w:t>
      </w:r>
    </w:p>
    <w:p>
      <w:pPr>
        <w:pStyle w:val="ListParagraph"/>
        <w:numPr>
          <w:ilvl w:val="0"/>
          <w:numId w:val="2"/>
        </w:numPr>
        <w:spacing w:after="60"/>
      </w:pPr>
      <w:r>
        <w:t xml:space="preserve">Solar PV modules/cells are covered but only require safe storage (no recycling target) until 2034-35.</w:t>
      </w:r>
    </w:p>
    <w:p>
      <w:pPr>
        <w:pStyle w:val="ListParagraph"/>
        <w:numPr>
          <w:ilvl w:val="0"/>
          <w:numId w:val="2"/>
        </w:numPr>
        <w:spacing w:after="60"/>
      </w:pPr>
      <w:r>
        <w:t xml:space="preserve">Bulk consumers must hand over e-waste only to registered Producers, Recyclers, or Refurbishers.</w:t>
      </w:r>
    </w:p>
    <w:p>
      <w:pPr>
        <w:pStyle w:val="Heading1"/>
        <w:spacing w:after="150" w:before="300"/>
      </w:pPr>
      <w:r>
        <w:t xml:space="preserve">3. Ten-Point Compliance Checklist Used</w:t>
      </w:r>
    </w:p>
    <w:p>
      <w:pPr>
        <w:pStyle w:val="ListParagraph"/>
        <w:numPr>
          <w:ilvl w:val="0"/>
          <w:numId w:val="2"/>
        </w:numPr>
        <w:spacing w:after="60"/>
      </w:pPr>
      <w:r>
        <w:t xml:space="preserve">R1. Registered as Producer/Manufacturer on the CPCB E-Waste EPR Portal</w:t>
      </w:r>
    </w:p>
    <w:p>
      <w:pPr>
        <w:pStyle w:val="ListParagraph"/>
        <w:numPr>
          <w:ilvl w:val="0"/>
          <w:numId w:val="2"/>
        </w:numPr>
        <w:spacing w:after="60"/>
      </w:pPr>
      <w:r>
        <w:t xml:space="preserve">R2. Meeting phase-wise EPR recycling obligation (60% FY23-25, rising to 70%/80%) only through CPCB-registered recyclers</w:t>
      </w:r>
    </w:p>
    <w:p>
      <w:pPr>
        <w:pStyle w:val="ListParagraph"/>
        <w:numPr>
          <w:ilvl w:val="0"/>
          <w:numId w:val="2"/>
        </w:numPr>
        <w:spacing w:after="60"/>
      </w:pPr>
      <w:r>
        <w:t xml:space="preserve">R3. RoHS compliance — restricting Lead, Mercury, Cadmium, Hexavalent Chromium, PBB/PBDE below prescribed limits</w:t>
      </w:r>
    </w:p>
    <w:p>
      <w:pPr>
        <w:pStyle w:val="ListParagraph"/>
        <w:numPr>
          <w:ilvl w:val="0"/>
          <w:numId w:val="2"/>
        </w:numPr>
        <w:spacing w:after="60"/>
      </w:pPr>
      <w:r>
        <w:t xml:space="preserve">R4. Filing mandatory Quarterly and Annual Returns on the EPR Portal</w:t>
      </w:r>
    </w:p>
    <w:p>
      <w:pPr>
        <w:pStyle w:val="ListParagraph"/>
        <w:numPr>
          <w:ilvl w:val="0"/>
          <w:numId w:val="2"/>
        </w:numPr>
        <w:spacing w:after="60"/>
      </w:pPr>
      <w:r>
        <w:t xml:space="preserve">R5. Generating/purchasing EPR Certificates strictly from registered recyclers for the correct EEE codes</w:t>
      </w:r>
    </w:p>
    <w:p>
      <w:pPr>
        <w:pStyle w:val="ListParagraph"/>
        <w:numPr>
          <w:ilvl w:val="0"/>
          <w:numId w:val="2"/>
        </w:numPr>
        <w:spacing w:after="60"/>
      </w:pPr>
      <w:r>
        <w:t xml:space="preserve">R6. Maintaining traceable records of e-waste generated/collected/recycled, available for CPCB/SPCB audit</w:t>
      </w:r>
    </w:p>
    <w:p>
      <w:pPr>
        <w:pStyle w:val="ListParagraph"/>
        <w:numPr>
          <w:ilvl w:val="0"/>
          <w:numId w:val="2"/>
        </w:numPr>
        <w:spacing w:after="60"/>
      </w:pPr>
      <w:r>
        <w:t xml:space="preserve">R7. Publicly disclosing e-waste/EPR performance (e.g., in BRSR or Sustainability Reports)</w:t>
      </w:r>
    </w:p>
    <w:p>
      <w:pPr>
        <w:pStyle w:val="ListParagraph"/>
        <w:numPr>
          <w:ilvl w:val="0"/>
          <w:numId w:val="2"/>
        </w:numPr>
        <w:spacing w:after="60"/>
      </w:pPr>
      <w:r>
        <w:t xml:space="preserve">R8. Provisions for collection, take-back, or channelization of end-of-life products (incl. Refurbishing Certificates where applicable)</w:t>
      </w:r>
    </w:p>
    <w:p>
      <w:pPr>
        <w:pStyle w:val="ListParagraph"/>
        <w:numPr>
          <w:ilvl w:val="0"/>
          <w:numId w:val="2"/>
        </w:numPr>
        <w:spacing w:after="60"/>
      </w:pPr>
      <w:r>
        <w:t xml:space="preserve">R9. Compliance with hazardous-waste handling/disposal via authorized SPCB-approved vendors</w:t>
      </w:r>
    </w:p>
    <w:p>
      <w:pPr>
        <w:pStyle w:val="ListParagraph"/>
        <w:numPr>
          <w:ilvl w:val="0"/>
          <w:numId w:val="2"/>
        </w:numPr>
        <w:spacing w:after="60"/>
      </w:pPr>
      <w:r>
        <w:t xml:space="preserve">R10. Special handling for solar PV modules/cells if applicable (storage till 2034-35)</w:t>
      </w:r>
    </w:p>
    <w:p>
      <w:pPr>
        <w:pStyle w:val="Heading1"/>
        <w:spacing w:after="150" w:before="300"/>
      </w:pPr>
      <w:r>
        <w:t xml:space="preserve">4. Company-Wise Assessment</w:t>
      </w:r>
    </w:p>
    <w:p>
      <w:pPr>
        <w:pStyle w:val="Heading2"/>
        <w:spacing w:after="120" w:before="240"/>
      </w:pPr>
      <w:r>
        <w:t xml:space="preserve">Dixon Technologies (India) Ltd.</w:t>
      </w:r>
    </w:p>
    <w:p>
      <w:pPr>
        <w:spacing w:after="120"/>
      </w:pPr>
      <w:r>
        <w:rPr>
          <w:i/>
          <w:iCs/>
          <w:sz w:val="20"/>
          <w:szCs w:val="20"/>
        </w:rPr>
        <w:t xml:space="preserve">India's largest homegrown EMS player (mobiles, TVs, appliances, lighting); listed on NSE/BSE.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rPr>
          <w:tblHeader/>
        </w:trPr>
        <w:tc>
          <w:tcPr>
            <w:tcW w:type="dxa" w:w="5300"/>
            <w:shd w:fill="D9E8D8" w:val="clear"/>
          </w:tcPr>
          <w:p>
            <w:pPr>
              <w:jc w:val="left"/>
            </w:pPr>
            <w:r>
              <w:rPr>
                <w:b/>
                <w:bCs/>
                <w:sz w:val="20"/>
                <w:szCs w:val="20"/>
              </w:rPr>
              <w:t xml:space="preserve">Rules Likely Followed (evidence-based)</w:t>
            </w:r>
          </w:p>
        </w:tc>
        <w:tc>
          <w:tcPr>
            <w:tcW w:type="dxa" w:w="5300"/>
            <w:shd w:fill="F2DEDE" w:val="clear"/>
          </w:tcPr>
          <w:p>
            <w:pPr>
              <w:jc w:val="left"/>
            </w:pPr>
            <w:r>
              <w:rPr>
                <w:b/>
                <w:bCs/>
                <w:sz w:val="20"/>
                <w:szCs w:val="20"/>
              </w:rPr>
              <w:t xml:space="preserve">Rules Where Compliance Not Publicly Verifiable</w:t>
            </w:r>
          </w:p>
        </w:tc>
      </w:tr>
      <w:tr>
        <w:tc>
          <w:tcPr>
            <w:tcW w:type="dxa" w:w="5300"/>
          </w:tcPr>
          <w:p>
            <w:pPr>
              <w:jc w:val="left"/>
            </w:pPr>
            <w:r>
              <w:rPr>
                <w:b w:val="false"/>
                <w:bCs w:val="false"/>
                <w:sz w:val="20"/>
                <w:szCs w:val="20"/>
              </w:rPr>
              <w:t xml:space="preserve">R1 — Registered as a Manufacturer/Producer (mandatory for a listed EEE manufacturer of Dixon's scale operating 17+ plants under Schedule-I categories)</w:t>
            </w:r>
          </w:p>
        </w:tc>
        <w:tc>
          <w:tcPr>
            <w:tcW w:type="dxa" w:w="5300"/>
          </w:tcPr>
          <w:p>
            <w:pPr>
              <w:jc w:val="left"/>
            </w:pPr>
            <w:r>
              <w:rPr>
                <w:b w:val="false"/>
                <w:bCs w:val="false"/>
                <w:sz w:val="20"/>
                <w:szCs w:val="20"/>
              </w:rPr>
              <w:t xml:space="preserve">R2 — Exact annual EPR recycling-target attainment (%) not found in public disclosures reviewed</w:t>
            </w:r>
          </w:p>
        </w:tc>
      </w:tr>
      <w:tr>
        <w:tc>
          <w:tcPr>
            <w:tcW w:type="dxa" w:w="5300"/>
          </w:tcPr>
          <w:p>
            <w:pPr>
              <w:jc w:val="left"/>
            </w:pPr>
            <w:r>
              <w:rPr>
                <w:b w:val="false"/>
                <w:bCs w:val="false"/>
                <w:sz w:val="20"/>
                <w:szCs w:val="20"/>
              </w:rPr>
              <w:t xml:space="preserve">R3 — RoHS compliance is a standard contractual requirement for its OEM clients (Samsung, Xiaomi, Google, Motorola, Nokia, etc.), who mandate it in sourcing</w:t>
            </w:r>
          </w:p>
        </w:tc>
        <w:tc>
          <w:tcPr>
            <w:tcW w:type="dxa" w:w="5300"/>
          </w:tcPr>
          <w:p>
            <w:pPr>
              <w:jc w:val="left"/>
            </w:pPr>
            <w:r>
              <w:rPr>
                <w:b w:val="false"/>
                <w:bCs w:val="false"/>
                <w:sz w:val="20"/>
                <w:szCs w:val="20"/>
              </w:rPr>
              <w:t xml:space="preserve">R4 — Quarterly/Annual EPR Portal return filings are not public documents</w:t>
            </w:r>
          </w:p>
        </w:tc>
      </w:tr>
      <w:tr>
        <w:tc>
          <w:tcPr>
            <w:tcW w:type="dxa" w:w="5300"/>
          </w:tcPr>
          <w:p>
            <w:pPr>
              <w:jc w:val="left"/>
            </w:pPr>
            <w:r>
              <w:rPr>
                <w:b w:val="false"/>
                <w:bCs w:val="false"/>
                <w:sz w:val="20"/>
                <w:szCs w:val="20"/>
              </w:rPr>
              <w:t xml:space="preserve">R9 — Uses SPCB-authorized vendors for hazardous waste, standard practice for a listed manufacturer with CTO/CTE consents</w:t>
            </w:r>
          </w:p>
        </w:tc>
        <w:tc>
          <w:tcPr>
            <w:tcW w:type="dxa" w:w="5300"/>
          </w:tcPr>
          <w:p>
            <w:pPr>
              <w:jc w:val="left"/>
            </w:pPr>
            <w:r>
              <w:rPr>
                <w:b w:val="false"/>
                <w:bCs w:val="false"/>
                <w:sz w:val="20"/>
                <w:szCs w:val="20"/>
              </w:rPr>
              <w:t xml:space="preserve">R5 — Specific recyclers/EEE codes used for EPR Certificate purchase not disclosed publicly</w:t>
            </w:r>
          </w:p>
        </w:tc>
      </w:tr>
      <w:tr>
        <w:tc>
          <w:tcPr>
            <w:tcW w:type="dxa" w:w="5300"/>
          </w:tcPr>
          <w:p>
            <w:pPr>
              <w:jc w:val="left"/>
            </w:pPr>
            <w:r>
              <w:rPr>
                <w:b w:val="false"/>
                <w:bCs w:val="false"/>
                <w:sz w:val="20"/>
                <w:szCs w:val="20"/>
              </w:rPr>
              <w:t xml:space="preserve"/>
            </w:r>
          </w:p>
        </w:tc>
        <w:tc>
          <w:tcPr>
            <w:tcW w:type="dxa" w:w="5300"/>
          </w:tcPr>
          <w:p>
            <w:pPr>
              <w:jc w:val="left"/>
            </w:pPr>
            <w:r>
              <w:rPr>
                <w:b w:val="false"/>
                <w:bCs w:val="false"/>
                <w:sz w:val="20"/>
                <w:szCs w:val="20"/>
              </w:rPr>
              <w:t xml:space="preserve">R6 — Detailed e-waste audit trail not available in public filings reviewed</w:t>
            </w:r>
          </w:p>
        </w:tc>
      </w:tr>
      <w:tr>
        <w:tc>
          <w:tcPr>
            <w:tcW w:type="dxa" w:w="5300"/>
          </w:tcPr>
          <w:p>
            <w:pPr>
              <w:jc w:val="left"/>
            </w:pPr>
            <w:r>
              <w:rPr>
                <w:b w:val="false"/>
                <w:bCs w:val="false"/>
                <w:sz w:val="20"/>
                <w:szCs w:val="20"/>
              </w:rPr>
              <w:t xml:space="preserve"/>
            </w:r>
          </w:p>
        </w:tc>
        <w:tc>
          <w:tcPr>
            <w:tcW w:type="dxa" w:w="5300"/>
          </w:tcPr>
          <w:p>
            <w:pPr>
              <w:jc w:val="left"/>
            </w:pPr>
            <w:r>
              <w:rPr>
                <w:b w:val="false"/>
                <w:bCs w:val="false"/>
                <w:sz w:val="20"/>
                <w:szCs w:val="20"/>
              </w:rPr>
              <w:t xml:space="preserve">R7 — No dedicated, detailed public E-Waste/BRSR disclosure was located in this review (may exist in its Annual Report, not verified here)</w:t>
            </w:r>
          </w:p>
        </w:tc>
      </w:tr>
    </w:tbl>
    <w:p>
      <w:pPr>
        <w:spacing w:after="200"/>
      </w:pPr>
    </w:p>
    <w:p>
      <w:pPr>
        <w:pStyle w:val="Heading2"/>
        <w:spacing w:after="120" w:before="240"/>
      </w:pPr>
      <w:r>
        <w:t xml:space="preserve">Kaynes Technology India Ltd.</w:t>
      </w:r>
    </w:p>
    <w:p>
      <w:pPr>
        <w:spacing w:after="120"/>
      </w:pPr>
      <w:r>
        <w:rPr>
          <w:i/>
          <w:iCs/>
          <w:sz w:val="20"/>
          <w:szCs w:val="20"/>
        </w:rPr>
        <w:t xml:space="preserve">Full-stack EMS/OSAT player (electronics, automotive, industrial); listed on NSE/BSE.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rPr>
          <w:tblHeader/>
        </w:trPr>
        <w:tc>
          <w:tcPr>
            <w:tcW w:type="dxa" w:w="5300"/>
            <w:shd w:fill="D9E8D8" w:val="clear"/>
          </w:tcPr>
          <w:p>
            <w:pPr>
              <w:jc w:val="left"/>
            </w:pPr>
            <w:r>
              <w:rPr>
                <w:b/>
                <w:bCs/>
                <w:sz w:val="20"/>
                <w:szCs w:val="20"/>
              </w:rPr>
              <w:t xml:space="preserve">Rules Likely Followed (evidence-based)</w:t>
            </w:r>
          </w:p>
        </w:tc>
        <w:tc>
          <w:tcPr>
            <w:tcW w:type="dxa" w:w="5300"/>
            <w:shd w:fill="F2DEDE" w:val="clear"/>
          </w:tcPr>
          <w:p>
            <w:pPr>
              <w:jc w:val="left"/>
            </w:pPr>
            <w:r>
              <w:rPr>
                <w:b/>
                <w:bCs/>
                <w:sz w:val="20"/>
                <w:szCs w:val="20"/>
              </w:rPr>
              <w:t xml:space="preserve">Rules Where Compliance Not Publicly Verifiable</w:t>
            </w:r>
          </w:p>
        </w:tc>
      </w:tr>
      <w:tr>
        <w:tc>
          <w:tcPr>
            <w:tcW w:type="dxa" w:w="5300"/>
          </w:tcPr>
          <w:p>
            <w:pPr>
              <w:jc w:val="left"/>
            </w:pPr>
            <w:r>
              <w:rPr>
                <w:b w:val="false"/>
                <w:bCs w:val="false"/>
                <w:sz w:val="20"/>
                <w:szCs w:val="20"/>
              </w:rPr>
              <w:t xml:space="preserve">R1 — Registered as a Manufacturer/Producer, required for its Schedule-I EEE production lines</w:t>
            </w:r>
          </w:p>
        </w:tc>
        <w:tc>
          <w:tcPr>
            <w:tcW w:type="dxa" w:w="5300"/>
          </w:tcPr>
          <w:p>
            <w:pPr>
              <w:jc w:val="left"/>
            </w:pPr>
            <w:r>
              <w:rPr>
                <w:b w:val="false"/>
                <w:bCs w:val="false"/>
                <w:sz w:val="20"/>
                <w:szCs w:val="20"/>
              </w:rPr>
              <w:t xml:space="preserve">R2 — Public EPR recycling-target attainment data not found</w:t>
            </w:r>
          </w:p>
        </w:tc>
      </w:tr>
      <w:tr>
        <w:tc>
          <w:tcPr>
            <w:tcW w:type="dxa" w:w="5300"/>
          </w:tcPr>
          <w:p>
            <w:pPr>
              <w:jc w:val="left"/>
            </w:pPr>
            <w:r>
              <w:rPr>
                <w:b w:val="false"/>
                <w:bCs w:val="false"/>
                <w:sz w:val="20"/>
                <w:szCs w:val="20"/>
              </w:rPr>
              <w:t xml:space="preserve">R3 — RoHS compliance is standard for its industrial/automotive/aerospace clients, who typically mandate it</w:t>
            </w:r>
          </w:p>
        </w:tc>
        <w:tc>
          <w:tcPr>
            <w:tcW w:type="dxa" w:w="5300"/>
          </w:tcPr>
          <w:p>
            <w:pPr>
              <w:jc w:val="left"/>
            </w:pPr>
            <w:r>
              <w:rPr>
                <w:b w:val="false"/>
                <w:bCs w:val="false"/>
                <w:sz w:val="20"/>
                <w:szCs w:val="20"/>
              </w:rPr>
              <w:t xml:space="preserve">R4, R5, R6 — Portal filings, recycler agreements, and audit records are not public</w:t>
            </w:r>
          </w:p>
        </w:tc>
      </w:tr>
      <w:tr>
        <w:tc>
          <w:tcPr>
            <w:tcW w:type="dxa" w:w="5300"/>
          </w:tcPr>
          <w:p>
            <w:pPr>
              <w:jc w:val="left"/>
            </w:pPr>
            <w:r>
              <w:rPr>
                <w:b w:val="false"/>
                <w:bCs w:val="false"/>
                <w:sz w:val="20"/>
                <w:szCs w:val="20"/>
              </w:rPr>
              <w:t xml:space="preserve"/>
            </w:r>
          </w:p>
        </w:tc>
        <w:tc>
          <w:tcPr>
            <w:tcW w:type="dxa" w:w="5300"/>
          </w:tcPr>
          <w:p>
            <w:pPr>
              <w:jc w:val="left"/>
            </w:pPr>
            <w:r>
              <w:rPr>
                <w:b w:val="false"/>
                <w:bCs w:val="false"/>
                <w:sz w:val="20"/>
                <w:szCs w:val="20"/>
              </w:rPr>
              <w:t xml:space="preserve">R7 — No detailed public e-waste/EPR disclosure located in this review</w:t>
            </w:r>
          </w:p>
        </w:tc>
      </w:tr>
      <w:tr>
        <w:tc>
          <w:tcPr>
            <w:tcW w:type="dxa" w:w="5300"/>
          </w:tcPr>
          <w:p>
            <w:pPr>
              <w:jc w:val="left"/>
            </w:pPr>
            <w:r>
              <w:rPr>
                <w:b w:val="false"/>
                <w:bCs w:val="false"/>
                <w:sz w:val="20"/>
                <w:szCs w:val="20"/>
              </w:rPr>
              <w:t xml:space="preserve"/>
            </w:r>
          </w:p>
        </w:tc>
        <w:tc>
          <w:tcPr>
            <w:tcW w:type="dxa" w:w="5300"/>
          </w:tcPr>
          <w:p>
            <w:pPr>
              <w:jc w:val="left"/>
            </w:pPr>
            <w:r>
              <w:rPr>
                <w:b w:val="false"/>
                <w:bCs w:val="false"/>
                <w:sz w:val="20"/>
                <w:szCs w:val="20"/>
              </w:rPr>
              <w:t xml:space="preserve">R9 — Hazardous-waste vendor details not publicly disclosed</w:t>
            </w:r>
          </w:p>
        </w:tc>
      </w:tr>
    </w:tbl>
    <w:p>
      <w:pPr>
        <w:spacing w:after="200"/>
      </w:pPr>
    </w:p>
    <w:p>
      <w:pPr>
        <w:pStyle w:val="Heading2"/>
        <w:spacing w:after="120" w:before="240"/>
      </w:pPr>
      <w:r>
        <w:t xml:space="preserve">Syrma SGS Technology Ltd.</w:t>
      </w:r>
    </w:p>
    <w:p>
      <w:pPr>
        <w:spacing w:after="120"/>
      </w:pPr>
      <w:r>
        <w:rPr>
          <w:i/>
          <w:iCs/>
          <w:sz w:val="20"/>
          <w:szCs w:val="20"/>
        </w:rPr>
        <w:t xml:space="preserve">EMS company; its own Business Responsibility &amp; Sustainability Report (BRSR) is publicly available and directly cited below.</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rPr>
          <w:tblHeader/>
        </w:trPr>
        <w:tc>
          <w:tcPr>
            <w:tcW w:type="dxa" w:w="5300"/>
            <w:shd w:fill="D9E8D8" w:val="clear"/>
          </w:tcPr>
          <w:p>
            <w:pPr>
              <w:jc w:val="left"/>
            </w:pPr>
            <w:r>
              <w:rPr>
                <w:b/>
                <w:bCs/>
                <w:sz w:val="20"/>
                <w:szCs w:val="20"/>
              </w:rPr>
              <w:t xml:space="preserve">Rules Likely Followed (evidence-based)</w:t>
            </w:r>
          </w:p>
        </w:tc>
        <w:tc>
          <w:tcPr>
            <w:tcW w:type="dxa" w:w="5300"/>
            <w:shd w:fill="F2DEDE" w:val="clear"/>
          </w:tcPr>
          <w:p>
            <w:pPr>
              <w:jc w:val="left"/>
            </w:pPr>
            <w:r>
              <w:rPr>
                <w:b/>
                <w:bCs/>
                <w:sz w:val="20"/>
                <w:szCs w:val="20"/>
              </w:rPr>
              <w:t xml:space="preserve">Rules Where Compliance Not Publicly Verifiable</w:t>
            </w:r>
          </w:p>
        </w:tc>
      </w:tr>
      <w:tr>
        <w:tc>
          <w:tcPr>
            <w:tcW w:type="dxa" w:w="5300"/>
          </w:tcPr>
          <w:p>
            <w:pPr>
              <w:jc w:val="left"/>
            </w:pPr>
            <w:r>
              <w:rPr>
                <w:b w:val="false"/>
                <w:bCs w:val="false"/>
                <w:sz w:val="20"/>
                <w:szCs w:val="20"/>
              </w:rPr>
              <w:t xml:space="preserve">R6/R9 — Company states in its BRSR that it has a "waste management procedure in place" and routes hazardous waste "through pollution board certified vendors"</w:t>
            </w:r>
          </w:p>
        </w:tc>
        <w:tc>
          <w:tcPr>
            <w:tcW w:type="dxa" w:w="5300"/>
          </w:tcPr>
          <w:p>
            <w:pPr>
              <w:jc w:val="left"/>
            </w:pPr>
            <w:r>
              <w:rPr>
                <w:b w:val="false"/>
                <w:bCs w:val="false"/>
                <w:sz w:val="20"/>
                <w:szCs w:val="20"/>
              </w:rPr>
              <w:t xml:space="preserve">R8 — Company itself states in its BRSR that, as a B2B contract manufacturer, it has "no control on the end of life of the products sold to customers," so take-back/EPR execution sits with its client-Producers rather than Syrma SGS in many contracts</w:t>
            </w:r>
          </w:p>
        </w:tc>
      </w:tr>
      <w:tr>
        <w:tc>
          <w:tcPr>
            <w:tcW w:type="dxa" w:w="5300"/>
          </w:tcPr>
          <w:p>
            <w:pPr>
              <w:jc w:val="left"/>
            </w:pPr>
            <w:r>
              <w:rPr>
                <w:b w:val="false"/>
                <w:bCs w:val="false"/>
                <w:sz w:val="20"/>
                <w:szCs w:val="20"/>
              </w:rPr>
              <w:t xml:space="preserve">R7 — Publicly discloses e-waste practices via its BRSR filing (a documented, verifiable disclosure — the strongest public evidence among the five companies reviewed)</w:t>
            </w:r>
          </w:p>
        </w:tc>
        <w:tc>
          <w:tcPr>
            <w:tcW w:type="dxa" w:w="5300"/>
          </w:tcPr>
          <w:p>
            <w:pPr>
              <w:jc w:val="left"/>
            </w:pPr>
            <w:r>
              <w:rPr>
                <w:b w:val="false"/>
                <w:bCs w:val="false"/>
                <w:sz w:val="20"/>
                <w:szCs w:val="20"/>
              </w:rPr>
              <w:t xml:space="preserve">R2, R4, R5 — Specific EPR recycling-target percentages and Portal filings not disclosed at that level of detail</w:t>
            </w:r>
          </w:p>
        </w:tc>
      </w:tr>
      <w:tr>
        <w:tc>
          <w:tcPr>
            <w:tcW w:type="dxa" w:w="5300"/>
          </w:tcPr>
          <w:p>
            <w:pPr>
              <w:jc w:val="left"/>
            </w:pPr>
            <w:r>
              <w:rPr>
                <w:b w:val="false"/>
                <w:bCs w:val="false"/>
                <w:sz w:val="20"/>
                <w:szCs w:val="20"/>
              </w:rPr>
              <w:t xml:space="preserve">R3 — References conformity to ANSI/ESD S20.20, IATF 16949, ISO standards, consistent with RoHS-aligned manufacturing discipline</w:t>
            </w:r>
          </w:p>
        </w:tc>
        <w:tc>
          <w:tcPr>
            <w:tcW w:type="dxa" w:w="5300"/>
          </w:tcPr>
          <w:p>
            <w:pPr>
              <w:jc w:val="left"/>
            </w:pPr>
            <w:r>
              <w:rPr>
                <w:b w:val="false"/>
                <w:bCs w:val="false"/>
                <w:sz w:val="20"/>
                <w:szCs w:val="20"/>
              </w:rPr>
              <w:t xml:space="preserve"/>
            </w:r>
          </w:p>
        </w:tc>
      </w:tr>
    </w:tbl>
    <w:p>
      <w:pPr>
        <w:spacing w:after="200"/>
      </w:pPr>
    </w:p>
    <w:p>
      <w:pPr>
        <w:pStyle w:val="Heading2"/>
        <w:spacing w:after="120" w:before="240"/>
      </w:pPr>
      <w:r>
        <w:t xml:space="preserve">Tata Electronics Pvt. Ltd.</w:t>
      </w:r>
    </w:p>
    <w:p>
      <w:pPr>
        <w:spacing w:after="120"/>
      </w:pPr>
      <w:r>
        <w:rPr>
          <w:i/>
          <w:iCs/>
          <w:sz w:val="20"/>
          <w:szCs w:val="20"/>
        </w:rPr>
        <w:t xml:space="preserve">Tata Group's electronics manufacturing arm (semiconductor assembly, iPhone component/assembly manufacturing); part of Tata Sons.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rPr>
          <w:tblHeader/>
        </w:trPr>
        <w:tc>
          <w:tcPr>
            <w:tcW w:type="dxa" w:w="5300"/>
            <w:shd w:fill="D9E8D8" w:val="clear"/>
          </w:tcPr>
          <w:p>
            <w:pPr>
              <w:jc w:val="left"/>
            </w:pPr>
            <w:r>
              <w:rPr>
                <w:b/>
                <w:bCs/>
                <w:sz w:val="20"/>
                <w:szCs w:val="20"/>
              </w:rPr>
              <w:t xml:space="preserve">Rules Likely Followed (evidence-based)</w:t>
            </w:r>
          </w:p>
        </w:tc>
        <w:tc>
          <w:tcPr>
            <w:tcW w:type="dxa" w:w="5300"/>
            <w:shd w:fill="F2DEDE" w:val="clear"/>
          </w:tcPr>
          <w:p>
            <w:pPr>
              <w:jc w:val="left"/>
            </w:pPr>
            <w:r>
              <w:rPr>
                <w:b/>
                <w:bCs/>
                <w:sz w:val="20"/>
                <w:szCs w:val="20"/>
              </w:rPr>
              <w:t xml:space="preserve">Rules Where Compliance Not Publicly Verifiable</w:t>
            </w:r>
          </w:p>
        </w:tc>
      </w:tr>
      <w:tr>
        <w:tc>
          <w:tcPr>
            <w:tcW w:type="dxa" w:w="5300"/>
          </w:tcPr>
          <w:p>
            <w:pPr>
              <w:jc w:val="left"/>
            </w:pPr>
            <w:r>
              <w:rPr>
                <w:b w:val="false"/>
                <w:bCs w:val="false"/>
                <w:sz w:val="20"/>
                <w:szCs w:val="20"/>
              </w:rPr>
              <w:t xml:space="preserve">R1 — As a Tata Group entity operating large-scale EEE/semiconductor facilities, registration under Schedule-I is a baseline legal requirement</w:t>
            </w:r>
          </w:p>
        </w:tc>
        <w:tc>
          <w:tcPr>
            <w:tcW w:type="dxa" w:w="5300"/>
          </w:tcPr>
          <w:p>
            <w:pPr>
              <w:jc w:val="left"/>
            </w:pPr>
            <w:r>
              <w:rPr>
                <w:b w:val="false"/>
                <w:bCs w:val="false"/>
                <w:sz w:val="20"/>
                <w:szCs w:val="20"/>
              </w:rPr>
              <w:t xml:space="preserve">R2, R4, R5, R6 — Entity-specific EPR recycling targets, Portal returns, and audit trails not publicly available (Tata Electronics is a private/unlisted entity with no standalone BRSR located)</w:t>
            </w:r>
          </w:p>
        </w:tc>
      </w:tr>
      <w:tr>
        <w:tc>
          <w:tcPr>
            <w:tcW w:type="dxa" w:w="5300"/>
          </w:tcPr>
          <w:p>
            <w:pPr>
              <w:jc w:val="left"/>
            </w:pPr>
            <w:r>
              <w:rPr>
                <w:b w:val="false"/>
                <w:bCs w:val="false"/>
                <w:sz w:val="20"/>
                <w:szCs w:val="20"/>
              </w:rPr>
              <w:t xml:space="preserve">R3 — Tata Group-wide EHS and Tata Code of Conduct policies commit to regulatory and RoHS-equivalent compliance across group companies</w:t>
            </w:r>
          </w:p>
        </w:tc>
        <w:tc>
          <w:tcPr>
            <w:tcW w:type="dxa" w:w="5300"/>
          </w:tcPr>
          <w:p>
            <w:pPr>
              <w:jc w:val="left"/>
            </w:pPr>
            <w:r>
              <w:rPr>
                <w:b w:val="false"/>
                <w:bCs w:val="false"/>
                <w:sz w:val="20"/>
                <w:szCs w:val="20"/>
              </w:rPr>
              <w:t xml:space="preserve">R7 — No dedicated public e-waste disclosure specific to Tata Electronics (as opposed to Tata Group generally) was located in this review</w:t>
            </w:r>
          </w:p>
        </w:tc>
      </w:tr>
      <w:tr>
        <w:tc>
          <w:tcPr>
            <w:tcW w:type="dxa" w:w="5300"/>
          </w:tcPr>
          <w:p>
            <w:pPr>
              <w:jc w:val="left"/>
            </w:pPr>
            <w:r>
              <w:rPr>
                <w:b w:val="false"/>
                <w:bCs w:val="false"/>
                <w:sz w:val="20"/>
                <w:szCs w:val="20"/>
              </w:rPr>
              <w:t xml:space="preserve">R9 — Tata Group facilities typically operate under Tata's group-wide EHS framework, which mandates authorized hazardous-waste handling</w:t>
            </w:r>
          </w:p>
        </w:tc>
        <w:tc>
          <w:tcPr>
            <w:tcW w:type="dxa" w:w="5300"/>
          </w:tcPr>
          <w:p>
            <w:pPr>
              <w:jc w:val="left"/>
            </w:pPr>
            <w:r>
              <w:rPr>
                <w:b w:val="false"/>
                <w:bCs w:val="false"/>
                <w:sz w:val="20"/>
                <w:szCs w:val="20"/>
              </w:rPr>
              <w:t xml:space="preserve"/>
            </w:r>
          </w:p>
        </w:tc>
      </w:tr>
    </w:tbl>
    <w:p>
      <w:pPr>
        <w:spacing w:after="200"/>
      </w:pPr>
    </w:p>
    <w:p>
      <w:pPr>
        <w:pStyle w:val="Heading2"/>
        <w:spacing w:after="120" w:before="240"/>
      </w:pPr>
      <w:r>
        <w:t xml:space="preserve">Foxconn India (Hon Hai / Bharat FIH)</w:t>
      </w:r>
    </w:p>
    <w:p>
      <w:pPr>
        <w:spacing w:after="120"/>
      </w:pPr>
      <w:r>
        <w:rPr>
          <w:i/>
          <w:iCs/>
          <w:sz w:val="20"/>
          <w:szCs w:val="20"/>
        </w:rPr>
        <w:t xml:space="preserve">Indian arm of Taiwan's Foxconn/Hon Hai; large-scale contract manufacturer for global electronics brands, operating in Tamil Nadu, Karnataka, Telangana.</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rPr>
          <w:tblHeader/>
        </w:trPr>
        <w:tc>
          <w:tcPr>
            <w:tcW w:type="dxa" w:w="5300"/>
            <w:shd w:fill="D9E8D8" w:val="clear"/>
          </w:tcPr>
          <w:p>
            <w:pPr>
              <w:jc w:val="left"/>
            </w:pPr>
            <w:r>
              <w:rPr>
                <w:b/>
                <w:bCs/>
                <w:sz w:val="20"/>
                <w:szCs w:val="20"/>
              </w:rPr>
              <w:t xml:space="preserve">Rules Likely Followed (evidence-based)</w:t>
            </w:r>
          </w:p>
        </w:tc>
        <w:tc>
          <w:tcPr>
            <w:tcW w:type="dxa" w:w="5300"/>
            <w:shd w:fill="F2DEDE" w:val="clear"/>
          </w:tcPr>
          <w:p>
            <w:pPr>
              <w:jc w:val="left"/>
            </w:pPr>
            <w:r>
              <w:rPr>
                <w:b/>
                <w:bCs/>
                <w:sz w:val="20"/>
                <w:szCs w:val="20"/>
              </w:rPr>
              <w:t xml:space="preserve">Rules Where Compliance Not Publicly Verifiable</w:t>
            </w:r>
          </w:p>
        </w:tc>
      </w:tr>
      <w:tr>
        <w:tc>
          <w:tcPr>
            <w:tcW w:type="dxa" w:w="5300"/>
          </w:tcPr>
          <w:p>
            <w:pPr>
              <w:jc w:val="left"/>
            </w:pPr>
            <w:r>
              <w:rPr>
                <w:b w:val="false"/>
                <w:bCs w:val="false"/>
                <w:sz w:val="20"/>
                <w:szCs w:val="20"/>
              </w:rPr>
              <w:t xml:space="preserve">R1 — Registered as a Manufacturer/Producer, required given its Schedule-I EEE assembly operations</w:t>
            </w:r>
          </w:p>
        </w:tc>
        <w:tc>
          <w:tcPr>
            <w:tcW w:type="dxa" w:w="5300"/>
          </w:tcPr>
          <w:p>
            <w:pPr>
              <w:jc w:val="left"/>
            </w:pPr>
            <w:r>
              <w:rPr>
                <w:b w:val="false"/>
                <w:bCs w:val="false"/>
                <w:sz w:val="20"/>
                <w:szCs w:val="20"/>
              </w:rPr>
              <w:t xml:space="preserve">R2, R4, R5, R6 — India-specific EPR recycling-target attainment, Portal filings, and recycler agreements not publicly available</w:t>
            </w:r>
          </w:p>
        </w:tc>
      </w:tr>
      <w:tr>
        <w:tc>
          <w:tcPr>
            <w:tcW w:type="dxa" w:w="5300"/>
          </w:tcPr>
          <w:p>
            <w:pPr>
              <w:jc w:val="left"/>
            </w:pPr>
            <w:r>
              <w:rPr>
                <w:b w:val="false"/>
                <w:bCs w:val="false"/>
                <w:sz w:val="20"/>
                <w:szCs w:val="20"/>
              </w:rPr>
              <w:t xml:space="preserve">R3 — RoHS compliance is a hard contractual requirement from its global clients (Apple and others), enforced through their own supplier codes of conduct</w:t>
            </w:r>
          </w:p>
        </w:tc>
        <w:tc>
          <w:tcPr>
            <w:tcW w:type="dxa" w:w="5300"/>
          </w:tcPr>
          <w:p>
            <w:pPr>
              <w:jc w:val="left"/>
            </w:pPr>
            <w:r>
              <w:rPr>
                <w:b w:val="false"/>
                <w:bCs w:val="false"/>
                <w:sz w:val="20"/>
                <w:szCs w:val="20"/>
              </w:rPr>
              <w:t xml:space="preserve">R7 — Global Hon Hai CSR/sustainability reports exist, but a granular India-entity-specific e-waste disclosure was not located in this review</w:t>
            </w:r>
          </w:p>
        </w:tc>
      </w:tr>
      <w:tr>
        <w:tc>
          <w:tcPr>
            <w:tcW w:type="dxa" w:w="5300"/>
          </w:tcPr>
          <w:p>
            <w:pPr>
              <w:jc w:val="left"/>
            </w:pPr>
            <w:r>
              <w:rPr>
                <w:b w:val="false"/>
                <w:bCs w:val="false"/>
                <w:sz w:val="20"/>
                <w:szCs w:val="20"/>
              </w:rPr>
              <w:t xml:space="preserve">R9 — Global Foxconn/Hon Hai group environmental policy mandates authorized hazardous-waste disposal, applied to Indian facilities</w:t>
            </w:r>
          </w:p>
        </w:tc>
        <w:tc>
          <w:tcPr>
            <w:tcW w:type="dxa" w:w="5300"/>
          </w:tcPr>
          <w:p>
            <w:pPr>
              <w:jc w:val="left"/>
            </w:pPr>
            <w:r>
              <w:rPr>
                <w:b w:val="false"/>
                <w:bCs w:val="false"/>
                <w:sz w:val="20"/>
                <w:szCs w:val="20"/>
              </w:rPr>
              <w:t xml:space="preserve"/>
            </w:r>
          </w:p>
        </w:tc>
      </w:tr>
    </w:tbl>
    <w:p>
      <w:pPr>
        <w:spacing w:after="200"/>
      </w:pPr>
    </w:p>
    <w:p>
      <w:pPr>
        <w:pStyle w:val="Heading1"/>
        <w:spacing w:after="150" w:before="300"/>
      </w:pPr>
      <w:r>
        <w:t xml:space="preserve">5. Overall Conclusion</w:t>
      </w:r>
    </w:p>
    <w:p>
      <w:pPr>
        <w:spacing w:after="120"/>
      </w:pPr>
      <w:r>
        <w:t xml:space="preserve">All five companies operate at a scale where basic EPR registration and RoHS compliance are legal preconditions for doing business with global OEM clients (Apple, Samsung, Google, Xiaomi, etc.), so these two provisions are the most confidently "followed" across the board.</w:t>
      </w:r>
    </w:p>
    <w:p>
      <w:pPr>
        <w:spacing w:after="120"/>
      </w:pPr>
      <w:r>
        <w:t xml:space="preserve">Syrma SGS stands out as the only company with a specific, citable public disclosure (its BRSR filing) describing its e-waste and hazardous-waste handling — including an honest admission that, as a B2B contract manufacturer, end-of-life control over products often rests with its client-Producers rather than itself.</w:t>
      </w:r>
    </w:p>
    <w:p>
      <w:pPr>
        <w:spacing w:after="120"/>
      </w:pPr>
      <w:r>
        <w:t xml:space="preserve">For Dixon, Kaynes, Tata Electronics, and Foxconn India, granular EPR performance (recycling-target %, Portal filings, recycler agreements) is not public, so this report does not — and cannot responsibly — assert specific non-compliance. A rigorous version of this assignment would need direct data from the CPCB EPR Portal, RTI requests, or each company's Annual Report/BRSR, which were outside the scope of what's publicly searchable.</w:t>
      </w:r>
    </w:p>
    <w:p>
      <w:pPr>
        <w:spacing w:after="100"/>
      </w:pPr>
    </w:p>
    <w:p>
      <w:pPr>
        <w:spacing w:after="120"/>
      </w:pPr>
      <w:r>
        <w:rPr>
          <w:i/>
          <w:iCs/>
          <w:sz w:val="18"/>
          <w:szCs w:val="18"/>
        </w:rPr>
        <w:t xml:space="preserve">Sources: CPCB FAQ on E-Waste (Management) Rules, 2022 (uploaded document); Syrma SGS BRSR Report (syrmasgs.com); company websites and public financial/industry reporting.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9DFB7738-9894-4099-808F-D54438271DD3}"/>
</file>

<file path=customXml/itemProps2.xml><?xml version="1.0" encoding="utf-8"?>
<ds:datastoreItem xmlns:ds="http://schemas.openxmlformats.org/officeDocument/2006/customXml" ds:itemID="{2CB5792A-3B85-4F93-8CBA-0CA6BB93B384}"/>
</file>

<file path=customXml/itemProps3.xml><?xml version="1.0" encoding="utf-8"?>
<ds:datastoreItem xmlns:ds="http://schemas.openxmlformats.org/officeDocument/2006/customXml" ds:itemID="{91118FA3-2CF6-46EA-858D-311B7F1FC4C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2026-09-01T03:56:47Z</dcterms:created>
  <dcterms:modified xsi:type="dcterms:W3CDTF">2026-09-01T03:56:47Z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