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Law Relating to E-Waste, Its Impacts, and Disposal Management: A Review</w:t>
      </w:r>
    </w:p>
    <w:p>
      <w:pPr>
        <w:spacing w:after="20"/>
        <w:jc w:val="center"/>
      </w:pPr>
      <w:r>
        <w:rPr>
          <w:rFonts w:ascii="Times New Roman" w:cs="Times New Roman" w:eastAsia="Times New Roman" w:hAnsi="Times New Roman"/>
          <w:sz w:val="22"/>
          <w:szCs w:val="22"/>
        </w:rPr>
        <w:t xml:space="preserve">Ali Mehdi Mirza</w:t>
      </w:r>
    </w:p>
    <w:p>
      <w:pPr>
        <w:spacing w:after="260"/>
        <w:jc w:val="center"/>
      </w:pPr>
      <w:r>
        <w:rPr>
          <w:rFonts w:ascii="Times New Roman" w:cs="Times New Roman" w:eastAsia="Times New Roman" w:hAnsi="Times New Roman"/>
          <w:i/>
          <w:iCs/>
          <w:sz w:val="20"/>
          <w:szCs w:val="20"/>
        </w:rPr>
        <w:t xml:space="preserve">Department of Computer Engineering, Vidyalankar Institute of Technology, Mumbai, India</w:t>
      </w:r>
    </w:p>
    <w:p>
      <w:pPr>
        <w:spacing w:after="1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Electronic waste (e-waste) has emerged as one of the fastest-growing and most hazardous waste streams in the world, driven by short product life cycles and rising consumption of electrical and electronic equipment (EEE). A large share of e-waste in India is still processed by the unregulated informal sector, exposing workers and communities to serious health and environmental risks. This review synthesises the scale of global and Indian e-waste generation, the health and ecological consequences of the hazardous substances it contains, and the body of international conventions and national legislation developed to manage it. Particular attention is given to India's regulatory evolution, from the Factories Act, 1948 through to the current Extended Producer Responsibility (EPR) framework, and to the structural gaps — informal-sector exclusion, weak enforcement, and limited public data — that continue to undermine safe disposal. The review closes with policy recommendations aimed at closing these gaps and moving toward a circular economy for electronics. This work is a paraphrased review based primarily on Chadha and Chadha [1].</w:t>
      </w:r>
    </w:p>
    <w:p>
      <w:pPr>
        <w:spacing w:after="10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 E-waste, Extended Producer Responsibility, Basel Convention, hazardous substances, RoHS, recycling, e-waste law.</w:t>
      </w:r>
    </w:p>
    <w:p>
      <w:pPr>
        <w:sectPr>
          <w:type w:val="nextPage"/>
          <w:pgSz w:w="12240" w:h="15840" w:orient="portrait"/>
          <w:pgMar w:top="1080" w:right="1080" w:bottom="1080" w:left="1080" w:header="708" w:footer="708" w:gutter="0"/>
          <w:pgNumType/>
          <w:cols w:num="1"/>
          <w:docGrid w:linePitch="360"/>
        </w:sectPr>
      </w:pPr>
    </w:p>
    <w:p>
      <w:pPr>
        <w:spacing w:after="120" w:before="220"/>
        <w:jc w:val="center"/>
      </w:pPr>
      <w:r>
        <w:rPr>
          <w:rFonts w:ascii="Times New Roman" w:cs="Times New Roman" w:eastAsia="Times New Roman" w:hAnsi="Times New Roman"/>
          <w:b/>
          <w:bCs/>
          <w:sz w:val="20"/>
          <w:szCs w:val="20"/>
        </w:rPr>
        <w:t xml:space="preserve">I. INTRODUCTION</w:t>
      </w:r>
    </w:p>
    <w:p>
      <w:pPr>
        <w:spacing w:after="120" w:line="264"/>
        <w:ind w:firstLine="220"/>
        <w:jc w:val="both"/>
      </w:pPr>
      <w:r>
        <w:rPr>
          <w:rFonts w:ascii="Times New Roman" w:cs="Times New Roman" w:eastAsia="Times New Roman" w:hAnsi="Times New Roman"/>
          <w:sz w:val="20"/>
          <w:szCs w:val="20"/>
        </w:rPr>
        <w:t xml:space="preserve">The rapid expansion of electrical and electronic equipment — including devices tied to the Internet of Things such as smart-home and smart-city sensors — has improved quality of life worldwide, but it carries a double environmental cost: a growing volume of discarded equipment each year, and continued extraction of raw materials to build new devices [1]. The Solving the E-waste Problem (StEP) Initiative defines e-waste broadly as any item or component of electrical or electronic equipment that its owner has discarded without intending to reuse it [1]. Because devices with complex electronics only became common in the second half of the twentieth century, e-waste as a distinct, large-scale pollution problem is a relatively recent phenomenon — but one that is accelerating quickly, since a modern electronic product can contain over a thousand different substances, many of them toxic if improperly disposed of [1].</w:t>
      </w:r>
    </w:p>
    <w:p>
      <w:pPr>
        <w:spacing w:after="120" w:before="220"/>
        <w:jc w:val="center"/>
      </w:pPr>
      <w:r>
        <w:rPr>
          <w:rFonts w:ascii="Times New Roman" w:cs="Times New Roman" w:eastAsia="Times New Roman" w:hAnsi="Times New Roman"/>
          <w:b/>
          <w:bCs/>
          <w:sz w:val="20"/>
          <w:szCs w:val="20"/>
        </w:rPr>
        <w:t xml:space="preserve">II. SCALE OF E-WASTE GENERATION</w:t>
      </w:r>
    </w:p>
    <w:p>
      <w:pPr>
        <w:spacing w:after="120" w:line="264"/>
        <w:ind w:firstLine="220"/>
        <w:jc w:val="both"/>
      </w:pPr>
      <w:r>
        <w:rPr>
          <w:rFonts w:ascii="Times New Roman" w:cs="Times New Roman" w:eastAsia="Times New Roman" w:hAnsi="Times New Roman"/>
          <w:sz w:val="20"/>
          <w:szCs w:val="20"/>
        </w:rPr>
        <w:t xml:space="preserve">According to the Global E-waste Monitor 2020, the world generated 53.6 million tonnes (Mt) of e-waste in 2019 — an average of 7.3 kg per person — and this figure is projected to nearly double to 74.7 Mt by 2030 [1]. Asia produced the largest share (24.9 Mt), followed by the Americas (13.1 Mt) and Europe (12 Mt), with Africa and Oceania contributing smaller shares of 2.9 Mt and 0.7 Mt respectively [1]. India generated roughly 3.2 Mt of e-waste in 2019, making it the third-largest e-waste generating country after China and the United States [1].</w:t>
      </w:r>
    </w:p>
    <w:p>
      <w:pPr>
        <w:spacing w:after="120" w:line="264"/>
        <w:ind w:firstLine="220"/>
        <w:jc w:val="both"/>
      </w:pPr>
      <w:r>
        <w:rPr>
          <w:rFonts w:ascii="Times New Roman" w:cs="Times New Roman" w:eastAsia="Times New Roman" w:hAnsi="Times New Roman"/>
          <w:sz w:val="20"/>
          <w:szCs w:val="20"/>
        </w:rPr>
        <w:t xml:space="preserve">Table I reproduces the year-wise growth of India's domestic e-waste generation compiled by the Centre for Science and Environment from the Global E-waste Statistics Partnership, as cited in [1]. The Central Pollution Control Board separately estimated 2019–20 generation at approximately 10,14,961.2 tonnes across 21 EEE categories, based on sales data submitted by 1,380 registered producers [1].</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tblGrid>
      <w:tr>
        <w:tc>
          <w:tcPr>
            <w:tcW w:type="dxa" w:w="1600"/>
            <w:shd w:fill="DCE6DC" w:val="clear"/>
            <w:tcMar>
              <w:top w:type="dxa" w:w="40"/>
              <w:left w:type="dxa" w:w="60"/>
              <w:bottom w:type="dxa" w:w="40"/>
              <w:right w:type="dxa" w:w="60"/>
            </w:tcMar>
          </w:tcPr>
          <w:p>
            <w:r>
              <w:rPr>
                <w:rFonts w:ascii="Times New Roman" w:cs="Times New Roman" w:eastAsia="Times New Roman" w:hAnsi="Times New Roman"/>
                <w:b/>
                <w:bCs/>
                <w:sz w:val="16"/>
                <w:szCs w:val="16"/>
              </w:rPr>
              <w:t xml:space="preserve">Year</w:t>
            </w:r>
          </w:p>
        </w:tc>
        <w:tc>
          <w:tcPr>
            <w:tcW w:type="dxa" w:w="1600"/>
            <w:shd w:fill="DCE6DC" w:val="clear"/>
            <w:tcMar>
              <w:top w:type="dxa" w:w="40"/>
              <w:left w:type="dxa" w:w="60"/>
              <w:bottom w:type="dxa" w:w="40"/>
              <w:right w:type="dxa" w:w="60"/>
            </w:tcMar>
          </w:tcPr>
          <w:p>
            <w:r>
              <w:rPr>
                <w:rFonts w:ascii="Times New Roman" w:cs="Times New Roman" w:eastAsia="Times New Roman" w:hAnsi="Times New Roman"/>
                <w:b/>
                <w:bCs/>
                <w:sz w:val="16"/>
                <w:szCs w:val="16"/>
              </w:rPr>
              <w:t xml:space="preserve">E-waste (Mt)</w:t>
            </w:r>
          </w:p>
        </w:tc>
        <w:tc>
          <w:tcPr>
            <w:tcW w:type="dxa" w:w="14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
            </w:r>
          </w:p>
        </w:tc>
      </w:tr>
      <w:tr>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2015</w:t>
            </w:r>
          </w:p>
        </w:tc>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1.97</w:t>
            </w:r>
          </w:p>
        </w:tc>
        <w:tc>
          <w:tcPr>
            <w:tcW w:type="dxa" w:w="14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
            </w:r>
          </w:p>
        </w:tc>
      </w:tr>
      <w:tr>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2016</w:t>
            </w:r>
          </w:p>
        </w:tc>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2.22</w:t>
            </w:r>
          </w:p>
        </w:tc>
        <w:tc>
          <w:tcPr>
            <w:tcW w:type="dxa" w:w="14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
            </w:r>
          </w:p>
        </w:tc>
      </w:tr>
      <w:tr>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2017</w:t>
            </w:r>
          </w:p>
        </w:tc>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2.53</w:t>
            </w:r>
          </w:p>
        </w:tc>
        <w:tc>
          <w:tcPr>
            <w:tcW w:type="dxa" w:w="14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
            </w:r>
          </w:p>
        </w:tc>
      </w:tr>
      <w:tr>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2018</w:t>
            </w:r>
          </w:p>
        </w:tc>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2.86</w:t>
            </w:r>
          </w:p>
        </w:tc>
        <w:tc>
          <w:tcPr>
            <w:tcW w:type="dxa" w:w="14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
            </w:r>
          </w:p>
        </w:tc>
      </w:tr>
      <w:tr>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2019</w:t>
            </w:r>
          </w:p>
        </w:tc>
        <w:tc>
          <w:tcPr>
            <w:tcW w:type="dxa" w:w="16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3.23</w:t>
            </w:r>
          </w:p>
        </w:tc>
        <w:tc>
          <w:tcPr>
            <w:tcW w:type="dxa" w:w="1400"/>
            <w:tcMar>
              <w:top w:type="dxa" w:w="40"/>
              <w:left w:type="dxa" w:w="60"/>
              <w:bottom w:type="dxa" w:w="40"/>
              <w:right w:type="dxa" w:w="60"/>
            </w:tcMar>
          </w:tcPr>
          <w:p>
            <w:r>
              <w:rPr>
                <w:rFonts w:ascii="Times New Roman" w:cs="Times New Roman" w:eastAsia="Times New Roman" w:hAnsi="Times New Roman"/>
                <w:b w:val="false"/>
                <w:bCs w:val="false"/>
                <w:sz w:val="16"/>
                <w:szCs w:val="16"/>
              </w:rPr>
              <w:t xml:space="preserve"/>
            </w:r>
          </w:p>
        </w:tc>
      </w:tr>
    </w:tbl>
    <w:p>
      <w:pPr>
        <w:spacing w:after="160" w:before="60"/>
      </w:pPr>
      <w:r>
        <w:rPr>
          <w:rFonts w:ascii="Times New Roman" w:cs="Times New Roman" w:eastAsia="Times New Roman" w:hAnsi="Times New Roman"/>
          <w:i/>
          <w:iCs/>
          <w:sz w:val="15"/>
          <w:szCs w:val="15"/>
        </w:rPr>
        <w:t xml:space="preserve">TABLE I — YEAR-WISE E-WASTE GENERATION IN INDIA (SOURCE: CSE, 2020, VIA [1])</w:t>
      </w:r>
    </w:p>
    <w:p>
      <w:pPr>
        <w:spacing w:after="120" w:before="220"/>
        <w:jc w:val="center"/>
      </w:pPr>
      <w:r>
        <w:rPr>
          <w:rFonts w:ascii="Times New Roman" w:cs="Times New Roman" w:eastAsia="Times New Roman" w:hAnsi="Times New Roman"/>
          <w:b/>
          <w:bCs/>
          <w:sz w:val="20"/>
          <w:szCs w:val="20"/>
        </w:rPr>
        <w:t xml:space="preserve">III. HEALTH AND ENVIRONMENTAL IMPACTS</w:t>
      </w:r>
    </w:p>
    <w:p>
      <w:pPr>
        <w:spacing w:after="120" w:line="264"/>
        <w:ind w:firstLine="220"/>
        <w:jc w:val="both"/>
      </w:pPr>
      <w:r>
        <w:rPr>
          <w:rFonts w:ascii="Times New Roman" w:cs="Times New Roman" w:eastAsia="Times New Roman" w:hAnsi="Times New Roman"/>
          <w:sz w:val="20"/>
          <w:szCs w:val="20"/>
        </w:rPr>
        <w:t xml:space="preserve">By weight, e-waste is dominated by iron and steel (about 50%), plastics (about 21%), and non-ferrous metals (about 13%), alongside glass, printed circuit boards, and other materials [1]. Improper handling releases hazardous substances in three stages: primary emissions of heavy metals such as lead, arsenic, mercury, and PCBs; secondary emissions such as dioxins and furans generated by incomplete treatment; and tertiary emissions from the chemicals used during informal recycling itself [1]. Uncontrolled recycling of refrigerators and air conditioners alone was estimated to have released around 98 Mt of CO2-equivalent emissions in 2019, close to 0.3% of global energy-related emissions, while leaching from landfills can contaminate groundwater and surface water [1].</w:t>
      </w:r>
    </w:p>
    <w:p>
      <w:pPr>
        <w:spacing w:after="120" w:line="264"/>
        <w:ind w:firstLine="220"/>
        <w:jc w:val="both"/>
      </w:pPr>
      <w:r>
        <w:rPr>
          <w:rFonts w:ascii="Times New Roman" w:cs="Times New Roman" w:eastAsia="Times New Roman" w:hAnsi="Times New Roman"/>
          <w:sz w:val="20"/>
          <w:szCs w:val="20"/>
        </w:rPr>
        <w:t xml:space="preserve">Chemicals such as antimony, cadmium, brominated flame retardants, hexavalent chromium, lead, and mercury — found in circuit boards, CRTs, batteries, and countless other components — are persistent, bio-accumulative, and toxic. Chronic exposure is associated with adverse birth outcomes, impaired neurodevelopment and learning, DNA damage, cardiovascular and respiratory harm, immune-system effects, skin disease, hearing loss, and cancer [1].</w:t>
      </w:r>
    </w:p>
    <w:p>
      <w:pPr>
        <w:spacing w:after="120" w:before="220"/>
        <w:jc w:val="center"/>
      </w:pPr>
      <w:r>
        <w:rPr>
          <w:rFonts w:ascii="Times New Roman" w:cs="Times New Roman" w:eastAsia="Times New Roman" w:hAnsi="Times New Roman"/>
          <w:b/>
          <w:bCs/>
          <w:sz w:val="20"/>
          <w:szCs w:val="20"/>
        </w:rPr>
        <w:t xml:space="preserve">IV. GLOBAL LEGAL INITIATIVES</w:t>
      </w:r>
    </w:p>
    <w:p>
      <w:pPr>
        <w:spacing w:after="80" w:before="140"/>
      </w:pPr>
      <w:r>
        <w:rPr>
          <w:rFonts w:ascii="Times New Roman" w:cs="Times New Roman" w:eastAsia="Times New Roman" w:hAnsi="Times New Roman"/>
          <w:b/>
          <w:bCs/>
          <w:i/>
          <w:iCs/>
          <w:sz w:val="20"/>
          <w:szCs w:val="20"/>
        </w:rPr>
        <w:t xml:space="preserve">A. Multilateral Conventions</w:t>
      </w:r>
    </w:p>
    <w:p>
      <w:pPr>
        <w:spacing w:after="120" w:line="264"/>
        <w:ind w:firstLine="220"/>
        <w:jc w:val="both"/>
      </w:pPr>
      <w:r>
        <w:rPr>
          <w:rFonts w:ascii="Times New Roman" w:cs="Times New Roman" w:eastAsia="Times New Roman" w:hAnsi="Times New Roman"/>
          <w:sz w:val="20"/>
          <w:szCs w:val="20"/>
        </w:rPr>
        <w:t xml:space="preserve">The Basel Convention on the Control of Transboundary Movements of Hazardous Wastes, in force since 1992 and signed by 187 countries, is the cornerstone treaty in this area; its 2006 Conference of the Parties produced the Nairobi Declaration on environmentally sound e-waste management [1]. The Bamako Convention (1998) extends similar principles across Africa without the exceptions Basel allows for radioactive waste, while the Rotterdam Convention regulates trade in hazardous chemicals through a Prior Informed Consent procedure — India acceded to it in 2005 [1].</w:t>
      </w:r>
    </w:p>
    <w:p>
      <w:pPr>
        <w:spacing w:after="80" w:before="140"/>
      </w:pPr>
      <w:r>
        <w:rPr>
          <w:rFonts w:ascii="Times New Roman" w:cs="Times New Roman" w:eastAsia="Times New Roman" w:hAnsi="Times New Roman"/>
          <w:b/>
          <w:bCs/>
          <w:i/>
          <w:iCs/>
          <w:sz w:val="20"/>
          <w:szCs w:val="20"/>
        </w:rPr>
        <w:t xml:space="preserve">B. European and Institutional Instruments</w:t>
      </w:r>
    </w:p>
    <w:p>
      <w:pPr>
        <w:spacing w:after="120" w:line="264"/>
        <w:ind w:firstLine="220"/>
        <w:jc w:val="both"/>
      </w:pPr>
      <w:r>
        <w:rPr>
          <w:rFonts w:ascii="Times New Roman" w:cs="Times New Roman" w:eastAsia="Times New Roman" w:hAnsi="Times New Roman"/>
          <w:sz w:val="20"/>
          <w:szCs w:val="20"/>
        </w:rPr>
        <w:t xml:space="preserve">The EU's WEEE Directive implements Basel principles by banning hazardous-waste exports from EU member states to developing countries, and the Restriction of Hazardous Substances (RoHS) Directive, in force since February 2003 and now in its third iteration (RoHS 3), limits the use of specific hazardous constituents in EEE manufacturing [1]. Alongside these, the EU's Communication on the Precautionary Principle guides risk assessment where scientific evidence is incomplete, and bodies such as the UN Environmental Protection Agency, StEP, and UNCTAD coordinate international policy exchange and monitor the environmental cost of recycling exports [1].</w:t>
      </w:r>
    </w:p>
    <w:p>
      <w:pPr>
        <w:spacing w:after="120" w:before="220"/>
        <w:jc w:val="center"/>
      </w:pPr>
      <w:r>
        <w:rPr>
          <w:rFonts w:ascii="Times New Roman" w:cs="Times New Roman" w:eastAsia="Times New Roman" w:hAnsi="Times New Roman"/>
          <w:b/>
          <w:bCs/>
          <w:sz w:val="20"/>
          <w:szCs w:val="20"/>
        </w:rPr>
        <w:t xml:space="preserve">V. NATIONAL LEGISLATIVE APPROACHES</w:t>
      </w:r>
    </w:p>
    <w:p>
      <w:pPr>
        <w:spacing w:after="120" w:line="264"/>
        <w:ind w:firstLine="220"/>
        <w:jc w:val="both"/>
      </w:pPr>
      <w:r>
        <w:rPr>
          <w:rFonts w:ascii="Times New Roman" w:cs="Times New Roman" w:eastAsia="Times New Roman" w:hAnsi="Times New Roman"/>
          <w:sz w:val="20"/>
          <w:szCs w:val="20"/>
        </w:rPr>
        <w:t xml:space="preserve">Legislative maturity varies sharply by region. Several African states — including Nigeria, the first African country to ratify Basel — have adopted local e-waste policies, though coverage across the continent remains partial [1]. The United States has no single federal e-waste law but relies on state-level EPR statutes covering roughly 75–80% of the population, while Canada's provinces (aside from Nunavut) run industry-managed programmes [1]. Latin American uptake is uneven: Brazil has enacted a dedicated EPR and reverse-logistics law, Argentina has drafted similar legislation, and Ecuador and Bolivia have introduced EPR principles into general waste-management law, while Mexico, Colombia, and Peru are still developing their frameworks [1].</w:t>
      </w:r>
    </w:p>
    <w:p>
      <w:pPr>
        <w:spacing w:after="120" w:line="264"/>
        <w:ind w:firstLine="220"/>
        <w:jc w:val="both"/>
      </w:pPr>
      <w:r>
        <w:rPr>
          <w:rFonts w:ascii="Times New Roman" w:cs="Times New Roman" w:eastAsia="Times New Roman" w:hAnsi="Times New Roman"/>
          <w:sz w:val="20"/>
          <w:szCs w:val="20"/>
        </w:rPr>
        <w:t xml:space="preserve">In Europe, the WEEE Directive governs the EU and Norway, with comparable schemes in Switzerland, Iceland, and several Balkan states; Belarus, Moldova, and Russia have separately introduced EPR-based programmes influenced by the EU model [1]. Within Asia, China regulates fourteen e-waste categories nationally, Japan and South Korea have well-established e-waste regimes, and Israel's 2014 law mandates that electronics companies recycle at least half the weight of what they sell. The paper under review notes that India remains the only country in South Asia with dedicated e-waste legislation [1].</w:t>
      </w:r>
    </w:p>
    <w:p>
      <w:pPr>
        <w:spacing w:after="120" w:before="220"/>
        <w:jc w:val="center"/>
      </w:pPr>
      <w:r>
        <w:rPr>
          <w:rFonts w:ascii="Times New Roman" w:cs="Times New Roman" w:eastAsia="Times New Roman" w:hAnsi="Times New Roman"/>
          <w:b/>
          <w:bCs/>
          <w:sz w:val="20"/>
          <w:szCs w:val="20"/>
        </w:rPr>
        <w:t xml:space="preserve">VI. INDIA'S REGULATORY FRAMEWORK</w:t>
      </w:r>
    </w:p>
    <w:p>
      <w:pPr>
        <w:spacing w:after="120" w:line="264"/>
        <w:ind w:firstLine="220"/>
        <w:jc w:val="both"/>
      </w:pPr>
      <w:r>
        <w:rPr>
          <w:rFonts w:ascii="Times New Roman" w:cs="Times New Roman" w:eastAsia="Times New Roman" w:hAnsi="Times New Roman"/>
          <w:sz w:val="20"/>
          <w:szCs w:val="20"/>
        </w:rPr>
        <w:t xml:space="preserve">India's e-waste law has evolved incrementally. The Factories Act, 1948 first listed contaminants arising from electronics manufacturing and recycling; the Environmental Protection Rules, 1986 brought electroplating-linked units under effluent-disposal norms; and the Hazardous Waste (Management and Handling) Rules, 1989 (amended 2003) applied specific waste-code schedules to e-waste disposal and recycling [1].</w:t>
      </w:r>
    </w:p>
    <w:p>
      <w:pPr>
        <w:spacing w:after="120" w:line="264"/>
        <w:ind w:firstLine="220"/>
        <w:jc w:val="both"/>
      </w:pPr>
      <w:r>
        <w:rPr>
          <w:rFonts w:ascii="Times New Roman" w:cs="Times New Roman" w:eastAsia="Times New Roman" w:hAnsi="Times New Roman"/>
          <w:sz w:val="20"/>
          <w:szCs w:val="20"/>
        </w:rPr>
        <w:t xml:space="preserve">The E-waste (Management and Handling) Rules, 2011 introduced Extended Producer Responsibility for the first time, though it excluded the informal sector and only made dismantler/recycler registration with State Pollution Control Boards mandatory; a 2016 Parliamentary Committee report subsequently urged stronger enforcement mechanisms and infrastructure [1]. The E-waste (Management) Amendment Rules, 2018 pushed further by requiring e-waste to be channelled specifically to authorised dismantlers and recyclers, and the Ministry of Electronics and Information Technology has run an E-waste Awareness Programme since 2015 under the "Swachh Digital Bharat" banner to encourage the public to use authorised recyclers [1]. This lineage culminated in the E-Waste (Management) Rules, 2022 (not covered in the reviewed source, which predates that instrument), which formalised the current EPR-certificate trading system administered by the CPCB.</w:t>
      </w:r>
    </w:p>
    <w:p>
      <w:pPr>
        <w:spacing w:after="120" w:before="220"/>
        <w:jc w:val="center"/>
      </w:pPr>
      <w:r>
        <w:rPr>
          <w:rFonts w:ascii="Times New Roman" w:cs="Times New Roman" w:eastAsia="Times New Roman" w:hAnsi="Times New Roman"/>
          <w:b/>
          <w:bCs/>
          <w:sz w:val="20"/>
          <w:szCs w:val="20"/>
        </w:rPr>
        <w:t xml:space="preserve">VII. FINDINGS AND RECOMMENDATIONS</w:t>
      </w:r>
    </w:p>
    <w:p>
      <w:pPr>
        <w:spacing w:after="120" w:line="264"/>
        <w:ind w:firstLine="220"/>
        <w:jc w:val="both"/>
      </w:pPr>
      <w:r>
        <w:rPr>
          <w:rFonts w:ascii="Times New Roman" w:cs="Times New Roman" w:eastAsia="Times New Roman" w:hAnsi="Times New Roman"/>
          <w:sz w:val="20"/>
          <w:szCs w:val="20"/>
        </w:rPr>
        <w:t xml:space="preserve">Despite this body of law, enforcement remains the weakest link. Only about 17.4% of global e-waste generated in 2019 (9.3 Mt) was formally collected and recycled, and in India barely a quarter of the e-waste generated is recycled through legal channels — the rest passes through an informal network of repair shops, dealers, and e-commerce vendors that recovers only a fraction of the recoverable material and offers no worker protections [1].</w:t>
      </w:r>
    </w:p>
    <w:p>
      <w:pPr>
        <w:spacing w:after="120" w:line="264"/>
        <w:ind w:firstLine="220"/>
        <w:jc w:val="both"/>
      </w:pPr>
      <w:r>
        <w:rPr>
          <w:rFonts w:ascii="Times New Roman" w:cs="Times New Roman" w:eastAsia="Times New Roman" w:hAnsi="Times New Roman"/>
          <w:sz w:val="20"/>
          <w:szCs w:val="20"/>
        </w:rPr>
        <w:t xml:space="preserve">The reviewed source recommends several concrete corrective steps: banning e-waste disposal in municipal landfills; holding manufacturers financially, physically, and legally responsible for end-of-life products through Producer Responsibility Organisations modelled on Norway's system but adapted to Indian conditions; deploying Life Cycle Assessment, Material Flow Analysis, and Multi-Criteria Analysis to strengthen policy design; integrating the informal sector into a formal recycling model rather than excluding it; publishing recycler and collection-centre details on State Pollution Control Board websites; and introducing deposit-refund schemes and separate e-waste collection bins with penalties for non-compliance [1]. It further recommends raising import duties to deter illegal e-waste trade, requiring a verifiable disposal fee (2–5% of original production cost) from any country responsible for disposal, and using technologies such as RFID tagging on circuit boards and compressors to track products across their life cycle [1].</w:t>
      </w:r>
    </w:p>
    <w:p>
      <w:pPr>
        <w:spacing w:after="120" w:before="220"/>
        <w:jc w:val="center"/>
      </w:pPr>
      <w:r>
        <w:rPr>
          <w:rFonts w:ascii="Times New Roman" w:cs="Times New Roman" w:eastAsia="Times New Roman" w:hAnsi="Times New Roman"/>
          <w:b/>
          <w:bCs/>
          <w:sz w:val="20"/>
          <w:szCs w:val="20"/>
        </w:rPr>
        <w:t xml:space="preserve">VIII. CONCLUSION</w:t>
      </w:r>
    </w:p>
    <w:p>
      <w:pPr>
        <w:spacing w:after="120" w:line="264"/>
        <w:ind w:firstLine="220"/>
        <w:jc w:val="both"/>
      </w:pPr>
      <w:r>
        <w:rPr>
          <w:rFonts w:ascii="Times New Roman" w:cs="Times New Roman" w:eastAsia="Times New Roman" w:hAnsi="Times New Roman"/>
          <w:sz w:val="20"/>
          <w:szCs w:val="20"/>
        </w:rPr>
        <w:t xml:space="preserve">The reviewed literature makes clear that global and Indian e-waste law has grown substantially over the past three decades, from early hazardous-waste schedules to a dedicated EPR regime, yet legislative coverage alone has not kept pace with the growth in e-waste volumes or closed the gap left by an unregulated informal sector. Sustainable progress will depend on tighter enforcement, formal integration of informal recyclers, better public data on collection and recycling, and continued alignment between Indian rules and international instruments such as the Basel Convention and the EU's WEEE and RoHS Directives, so that a genuine circular economy for electronics becomes achievable rather than aspirational [1].</w:t>
      </w:r>
    </w:p>
    <w:p>
      <w:pPr>
        <w:spacing w:after="120" w:before="240"/>
        <w:jc w:val="center"/>
      </w:pPr>
      <w:r>
        <w:rPr>
          <w:rFonts w:ascii="Times New Roman" w:cs="Times New Roman" w:eastAsia="Times New Roman" w:hAnsi="Times New Roman"/>
          <w:b/>
          <w:bCs/>
          <w:sz w:val="20"/>
          <w:szCs w:val="20"/>
        </w:rPr>
        <w:t xml:space="preserve">REFERENCES</w:t>
      </w:r>
    </w:p>
    <w:p>
      <w:pPr>
        <w:spacing w:after="60" w:line="240"/>
        <w:ind w:left="220" w:hanging="220"/>
      </w:pPr>
      <w:r>
        <w:rPr>
          <w:rFonts w:ascii="Times New Roman" w:cs="Times New Roman" w:eastAsia="Times New Roman" w:hAnsi="Times New Roman"/>
          <w:sz w:val="18"/>
          <w:szCs w:val="18"/>
        </w:rPr>
        <w:t xml:space="preserve">[1] A. Chadha and N. Chadha, "Law Relating to E-Waste, its Impacts and Disposal Management," Neuro Quantology, vol. 20, no. 9, pp. 1264–1273, Aug. 2022, doi: 10.14704/nq.2022.20.9.NQ44143.</w:t>
      </w:r>
    </w:p>
    <w:p>
      <w:pPr>
        <w:spacing w:after="60" w:line="240"/>
        <w:ind w:left="220" w:hanging="220"/>
      </w:pPr>
      <w:r>
        <w:rPr>
          <w:rFonts w:ascii="Times New Roman" w:cs="Times New Roman" w:eastAsia="Times New Roman" w:hAnsi="Times New Roman"/>
          <w:sz w:val="18"/>
          <w:szCs w:val="18"/>
        </w:rPr>
        <w:t xml:space="preserve">[2] Central Pollution Control Board, E-Waste (Management) Rules, 2022, Ministry of Environment, Forest and Climate Change, Government of India, 2022.</w:t>
      </w:r>
    </w:p>
    <w:sectPr>
      <w:type w:val="continuous"/>
      <w:pgSz w:w="12240" w:h="15840" w:orient="portrait"/>
      <w:pgMar w:top="1080" w:right="1080" w:bottom="1080" w:left="108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2B3F911-40F3-4E24-8B5E-5D7C8AF6737A}"/>
</file>

<file path=customXml/itemProps2.xml><?xml version="1.0" encoding="utf-8"?>
<ds:datastoreItem xmlns:ds="http://schemas.openxmlformats.org/officeDocument/2006/customXml" ds:itemID="{AD1583D3-B4D0-44F8-A5C4-6DB5D110C40A}"/>
</file>

<file path=customXml/itemProps3.xml><?xml version="1.0" encoding="utf-8"?>
<ds:datastoreItem xmlns:ds="http://schemas.openxmlformats.org/officeDocument/2006/customXml" ds:itemID="{169B979D-23F3-4E5B-8B90-BF71856F353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2026-09-01T04:17:02Z</dcterms:created>
  <dcterms:modified xsi:type="dcterms:W3CDTF">2026-09-01T04:17:02Z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