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7042" w14:textId="3A57269D" w:rsidR="00B9691F" w:rsidRDefault="00B9691F" w:rsidP="00B9691F">
      <w:pPr>
        <w:pStyle w:val="ListParagraph"/>
      </w:pPr>
      <w:r>
        <w:t>Environmental waste management system</w:t>
      </w:r>
    </w:p>
    <w:p w14:paraId="38A599E1" w14:textId="77777777" w:rsidR="00B9691F" w:rsidRDefault="00B9691F" w:rsidP="00B9691F">
      <w:pPr>
        <w:pStyle w:val="ListParagraph"/>
      </w:pPr>
    </w:p>
    <w:p w14:paraId="094DE501" w14:textId="0C56FA6F" w:rsidR="00E96BF3" w:rsidRDefault="00E96BF3" w:rsidP="00B9691F">
      <w:pPr>
        <w:pStyle w:val="ListParagraph"/>
      </w:pPr>
      <w:r>
        <w:t>Why do you think this specific challenge is so crucial to address first for India to improve its e-waste management? Consider how it might be connected to other barriers.</w:t>
      </w:r>
    </w:p>
    <w:p w14:paraId="47E129B0" w14:textId="77777777" w:rsidR="00B9691F" w:rsidRDefault="00B9691F" w:rsidP="00B9691F">
      <w:pPr>
        <w:pStyle w:val="ListParagraph"/>
      </w:pPr>
    </w:p>
    <w:p w14:paraId="6ED0C332" w14:textId="77777777" w:rsidR="00D652B6" w:rsidRDefault="00D652B6">
      <w:pPr>
        <w:pStyle w:val="NormalWeb"/>
      </w:pPr>
      <w:r>
        <w:t>The rapid escalation of e-waste and its severe environmental and health impacts are driven by several interconnected factors identified in the research:</w:t>
      </w:r>
    </w:p>
    <w:p w14:paraId="59DD4003" w14:textId="77777777" w:rsidR="00D652B6" w:rsidRDefault="00D652B6" w:rsidP="00D652B6">
      <w:pPr>
        <w:numPr>
          <w:ilvl w:val="0"/>
          <w:numId w:val="2"/>
        </w:numPr>
        <w:spacing w:before="100" w:beforeAutospacing="1" w:after="100" w:afterAutospacing="1" w:line="240" w:lineRule="auto"/>
        <w:rPr>
          <w:rFonts w:eastAsia="Times New Roman"/>
        </w:rPr>
      </w:pPr>
      <w:r>
        <w:rPr>
          <w:rStyle w:val="Strong"/>
          <w:rFonts w:eastAsia="Times New Roman"/>
        </w:rPr>
        <w:t>Accelerated Technology Consumption:</w:t>
      </w:r>
      <w:r>
        <w:rPr>
          <w:rFonts w:eastAsia="Times New Roman"/>
        </w:rPr>
        <w:t xml:space="preserve"> The digital revolution and continuous technological innovations lead to a massive and growing consumption of electronic goods. For example, the rapid turnover of hardware in industries like cryptocurrency mining renders computer chips obsolete and non-reusable very quickly, contributing to a global e-waste generation of 62 billion kg in 2022.</w:t>
      </w:r>
    </w:p>
    <w:p w14:paraId="17ED8DAE" w14:textId="77777777" w:rsidR="00D652B6" w:rsidRDefault="00D652B6" w:rsidP="00D652B6">
      <w:pPr>
        <w:numPr>
          <w:ilvl w:val="0"/>
          <w:numId w:val="2"/>
        </w:numPr>
        <w:spacing w:before="100" w:beforeAutospacing="1" w:after="100" w:afterAutospacing="1" w:line="240" w:lineRule="auto"/>
        <w:rPr>
          <w:rFonts w:eastAsia="Times New Roman"/>
        </w:rPr>
      </w:pPr>
      <w:r>
        <w:rPr>
          <w:rStyle w:val="Strong"/>
          <w:rFonts w:eastAsia="Times New Roman"/>
        </w:rPr>
        <w:t>Toxicity and Landfill Dominance:</w:t>
      </w:r>
      <w:r>
        <w:rPr>
          <w:rFonts w:eastAsia="Times New Roman"/>
        </w:rPr>
        <w:t xml:space="preserve"> Electronic waste accounts for an outsized 70% of the toxic waste found in landfills today.</w:t>
      </w:r>
    </w:p>
    <w:p w14:paraId="0F6116D8" w14:textId="77777777" w:rsidR="00D652B6" w:rsidRDefault="00D652B6" w:rsidP="00D652B6">
      <w:pPr>
        <w:numPr>
          <w:ilvl w:val="0"/>
          <w:numId w:val="2"/>
        </w:numPr>
        <w:spacing w:before="100" w:beforeAutospacing="1" w:after="100" w:afterAutospacing="1" w:line="240" w:lineRule="auto"/>
        <w:rPr>
          <w:rFonts w:eastAsia="Times New Roman"/>
        </w:rPr>
      </w:pPr>
      <w:r>
        <w:rPr>
          <w:rStyle w:val="Strong"/>
          <w:rFonts w:eastAsia="Times New Roman"/>
        </w:rPr>
        <w:t>Informal and Unsafe Disposal:</w:t>
      </w:r>
      <w:r>
        <w:rPr>
          <w:rFonts w:eastAsia="Times New Roman"/>
        </w:rPr>
        <w:t xml:space="preserve"> In developing economies like India, e-waste is primarily handled by the unorganized informal sector using gross, unstructured, and unprotected methods. This unethical processing releases severe toxins into the air, water, and soil, creating direct threats to human health and environmental sustainability.</w:t>
      </w:r>
    </w:p>
    <w:p w14:paraId="1AB60CA6" w14:textId="77777777" w:rsidR="00D652B6" w:rsidRDefault="00D652B6">
      <w:pPr>
        <w:pStyle w:val="NormalWeb"/>
      </w:pPr>
      <w:r>
        <w:t>Addressing the foundational barriers first is critical to untangling this complex crisis. The study's AHP and ISM models pinpoint "short-term focus" (Level 7) challenges that act as the root drivers of the entire e-waste ecosystem:</w:t>
      </w:r>
    </w:p>
    <w:p w14:paraId="55100E46" w14:textId="77777777" w:rsidR="00D652B6" w:rsidRDefault="00D652B6" w:rsidP="00D652B6">
      <w:pPr>
        <w:numPr>
          <w:ilvl w:val="0"/>
          <w:numId w:val="3"/>
        </w:numPr>
        <w:spacing w:before="100" w:beforeAutospacing="1" w:after="100" w:afterAutospacing="1" w:line="240" w:lineRule="auto"/>
        <w:rPr>
          <w:rFonts w:eastAsia="Times New Roman"/>
        </w:rPr>
      </w:pPr>
      <w:r>
        <w:rPr>
          <w:rStyle w:val="Strong"/>
          <w:rFonts w:eastAsia="Times New Roman"/>
        </w:rPr>
        <w:t>The Foundational Bottleneck:</w:t>
      </w:r>
      <w:r>
        <w:rPr>
          <w:rFonts w:eastAsia="Times New Roman"/>
        </w:rPr>
        <w:t xml:space="preserve"> The root challenges that must be addressed first are a Lack of Knowledge and Skills, Lack of Infrastructure, Financial Constraints, and Logistics/Transportation practices. The AHP model ranks Lack of Knowledge and Skills as the single most critical barrier, holding the highest priority weightage at 12%.</w:t>
      </w:r>
    </w:p>
    <w:p w14:paraId="640088B1" w14:textId="77777777" w:rsidR="00D652B6" w:rsidRDefault="00D652B6" w:rsidP="00D652B6">
      <w:pPr>
        <w:numPr>
          <w:ilvl w:val="0"/>
          <w:numId w:val="3"/>
        </w:numPr>
        <w:spacing w:before="100" w:beforeAutospacing="1" w:after="100" w:afterAutospacing="1" w:line="240" w:lineRule="auto"/>
        <w:rPr>
          <w:rFonts w:eastAsia="Times New Roman"/>
        </w:rPr>
      </w:pPr>
      <w:r>
        <w:rPr>
          <w:rStyle w:val="Strong"/>
          <w:rFonts w:eastAsia="Times New Roman"/>
        </w:rPr>
        <w:t>The Cascade Effect:</w:t>
      </w:r>
      <w:r>
        <w:rPr>
          <w:rFonts w:eastAsia="Times New Roman"/>
        </w:rPr>
        <w:t xml:space="preserve"> These Level 7 challenges are "driving factors" that create a domino effect. A lack of basic infrastructure, funding, and education directly causes higher-level barriers to form, such as poor coordination, lack of information awareness, and the proliferation of illegal recycling practices.</w:t>
      </w:r>
    </w:p>
    <w:p w14:paraId="0388D269" w14:textId="77777777" w:rsidR="00D652B6" w:rsidRDefault="00D652B6" w:rsidP="00D652B6">
      <w:pPr>
        <w:numPr>
          <w:ilvl w:val="0"/>
          <w:numId w:val="3"/>
        </w:numPr>
        <w:spacing w:before="100" w:beforeAutospacing="1" w:after="100" w:afterAutospacing="1" w:line="240" w:lineRule="auto"/>
        <w:rPr>
          <w:rFonts w:eastAsia="Times New Roman"/>
        </w:rPr>
      </w:pPr>
      <w:r>
        <w:rPr>
          <w:rStyle w:val="Strong"/>
          <w:rFonts w:eastAsia="Times New Roman"/>
        </w:rPr>
        <w:t>Prerequisites for Advanced Solutions:</w:t>
      </w:r>
      <w:r>
        <w:rPr>
          <w:rFonts w:eastAsia="Times New Roman"/>
        </w:rPr>
        <w:t xml:space="preserve"> The ultimate, most complex barrier to overcome (Level 1) is a lack of sustainable design practices. However, the model proves that it is impossible to introduce advanced, long-term frameworks—like a circular economy, sustainable product design, or coherent legal policies—without first establishing the physical infrastructure, financial backing, and skilled workforce required to execute them.</w:t>
      </w:r>
    </w:p>
    <w:p w14:paraId="0D73BE75" w14:textId="77777777" w:rsidR="00B9691F" w:rsidRDefault="00B9691F" w:rsidP="00B9691F">
      <w:pPr>
        <w:pStyle w:val="ListParagraph"/>
      </w:pPr>
    </w:p>
    <w:sectPr w:rsidR="00B969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6502"/>
    <w:multiLevelType w:val="hybridMultilevel"/>
    <w:tmpl w:val="B00A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D10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9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275364">
    <w:abstractNumId w:val="0"/>
  </w:num>
  <w:num w:numId="2" w16cid:durableId="1829666111">
    <w:abstractNumId w:val="2"/>
  </w:num>
  <w:num w:numId="3" w16cid:durableId="129519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1F"/>
    <w:rsid w:val="00101BCF"/>
    <w:rsid w:val="00126F46"/>
    <w:rsid w:val="00544C6C"/>
    <w:rsid w:val="00B9691F"/>
    <w:rsid w:val="00D652B6"/>
    <w:rsid w:val="00E96B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1A0C30"/>
  <w15:chartTrackingRefBased/>
  <w15:docId w15:val="{546EA1C1-3054-7D4A-8337-D3F0F2FD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91F"/>
    <w:rPr>
      <w:rFonts w:eastAsiaTheme="majorEastAsia" w:cstheme="majorBidi"/>
      <w:color w:val="272727" w:themeColor="text1" w:themeTint="D8"/>
    </w:rPr>
  </w:style>
  <w:style w:type="paragraph" w:styleId="Title">
    <w:name w:val="Title"/>
    <w:basedOn w:val="Normal"/>
    <w:next w:val="Normal"/>
    <w:link w:val="TitleChar"/>
    <w:uiPriority w:val="10"/>
    <w:qFormat/>
    <w:rsid w:val="00B96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91F"/>
    <w:pPr>
      <w:spacing w:before="160"/>
      <w:jc w:val="center"/>
    </w:pPr>
    <w:rPr>
      <w:i/>
      <w:iCs/>
      <w:color w:val="404040" w:themeColor="text1" w:themeTint="BF"/>
    </w:rPr>
  </w:style>
  <w:style w:type="character" w:customStyle="1" w:styleId="QuoteChar">
    <w:name w:val="Quote Char"/>
    <w:basedOn w:val="DefaultParagraphFont"/>
    <w:link w:val="Quote"/>
    <w:uiPriority w:val="29"/>
    <w:rsid w:val="00B9691F"/>
    <w:rPr>
      <w:i/>
      <w:iCs/>
      <w:color w:val="404040" w:themeColor="text1" w:themeTint="BF"/>
    </w:rPr>
  </w:style>
  <w:style w:type="paragraph" w:styleId="ListParagraph">
    <w:name w:val="List Paragraph"/>
    <w:basedOn w:val="Normal"/>
    <w:uiPriority w:val="34"/>
    <w:qFormat/>
    <w:rsid w:val="00B9691F"/>
    <w:pPr>
      <w:ind w:left="720"/>
      <w:contextualSpacing/>
    </w:pPr>
  </w:style>
  <w:style w:type="character" w:styleId="IntenseEmphasis">
    <w:name w:val="Intense Emphasis"/>
    <w:basedOn w:val="DefaultParagraphFont"/>
    <w:uiPriority w:val="21"/>
    <w:qFormat/>
    <w:rsid w:val="00B9691F"/>
    <w:rPr>
      <w:i/>
      <w:iCs/>
      <w:color w:val="0F4761" w:themeColor="accent1" w:themeShade="BF"/>
    </w:rPr>
  </w:style>
  <w:style w:type="paragraph" w:styleId="IntenseQuote">
    <w:name w:val="Intense Quote"/>
    <w:basedOn w:val="Normal"/>
    <w:next w:val="Normal"/>
    <w:link w:val="IntenseQuoteChar"/>
    <w:uiPriority w:val="30"/>
    <w:qFormat/>
    <w:rsid w:val="00B96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91F"/>
    <w:rPr>
      <w:i/>
      <w:iCs/>
      <w:color w:val="0F4761" w:themeColor="accent1" w:themeShade="BF"/>
    </w:rPr>
  </w:style>
  <w:style w:type="character" w:styleId="IntenseReference">
    <w:name w:val="Intense Reference"/>
    <w:basedOn w:val="DefaultParagraphFont"/>
    <w:uiPriority w:val="32"/>
    <w:qFormat/>
    <w:rsid w:val="00B9691F"/>
    <w:rPr>
      <w:b/>
      <w:bCs/>
      <w:smallCaps/>
      <w:color w:val="0F4761" w:themeColor="accent1" w:themeShade="BF"/>
      <w:spacing w:val="5"/>
    </w:rPr>
  </w:style>
  <w:style w:type="paragraph" w:styleId="NormalWeb">
    <w:name w:val="Normal (Web)"/>
    <w:basedOn w:val="Normal"/>
    <w:uiPriority w:val="99"/>
    <w:semiHidden/>
    <w:unhideWhenUsed/>
    <w:rsid w:val="00D652B6"/>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652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1706D661-5580-41A2-B45F-7823E588960E}"/>
</file>

<file path=customXml/itemProps2.xml><?xml version="1.0" encoding="utf-8"?>
<ds:datastoreItem xmlns:ds="http://schemas.openxmlformats.org/officeDocument/2006/customXml" ds:itemID="{1CC34BAD-09A7-4626-BAB7-BBDCA3C97C69}"/>
</file>

<file path=customXml/itemProps3.xml><?xml version="1.0" encoding="utf-8"?>
<ds:datastoreItem xmlns:ds="http://schemas.openxmlformats.org/officeDocument/2006/customXml" ds:itemID="{BCB484CE-07BF-40A1-A985-98C6FCA1B447}"/>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vadraiwala</dc:creator>
  <cp:keywords/>
  <dc:description/>
  <cp:lastModifiedBy>rehan vadraiwala</cp:lastModifiedBy>
  <cp:revision>2</cp:revision>
  <dcterms:created xsi:type="dcterms:W3CDTF">2026-09-09T13:50:00Z</dcterms:created>
  <dcterms:modified xsi:type="dcterms:W3CDTF">2026-09-09T13:50:00Z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