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609721">
      <w:pPr>
        <w:rPr>
          <w:rFonts w:hint="default"/>
          <w:lang w:val="en-US" w:eastAsia="zh-CN"/>
        </w:rPr>
      </w:pPr>
      <w:r>
        <w:rPr>
          <w:rFonts w:hint="eastAsia"/>
          <w:lang w:val="en-US" w:eastAsia="zh-CN"/>
        </w:rPr>
        <w:t>小组成员以及贡献度：赵浩瀚 20% 张毅中20% 武晋荣20% 凌郑20% 陈劭谦20%</w:t>
      </w:r>
    </w:p>
    <w:p w14:paraId="57FEE5CE">
      <w:pPr>
        <w:pStyle w:val="4"/>
        <w:bidi w:val="0"/>
        <w:rPr>
          <w:rFonts w:hint="eastAsia"/>
          <w:sz w:val="28"/>
          <w:szCs w:val="28"/>
          <w:lang w:val="en-US" w:eastAsia="zh-CN"/>
        </w:rPr>
      </w:pPr>
      <w:r>
        <w:rPr>
          <w:rFonts w:hint="eastAsia"/>
          <w:sz w:val="28"/>
          <w:szCs w:val="28"/>
          <w:lang w:val="en-US" w:eastAsia="zh-CN"/>
        </w:rPr>
        <w:t>一、</w:t>
      </w:r>
      <w:bookmarkStart w:id="0" w:name="OLE_LINK31"/>
      <w:r>
        <w:rPr>
          <w:rFonts w:hint="eastAsia"/>
          <w:sz w:val="28"/>
          <w:szCs w:val="28"/>
          <w:lang w:val="en-US" w:eastAsia="zh-CN"/>
        </w:rPr>
        <w:t>背景</w:t>
      </w:r>
      <w:bookmarkEnd w:id="0"/>
      <w:bookmarkStart w:id="1" w:name="OLE_LINK16"/>
      <w:r>
        <w:rPr>
          <w:rFonts w:hint="eastAsia"/>
          <w:sz w:val="28"/>
          <w:szCs w:val="28"/>
          <w:lang w:val="en-US" w:eastAsia="zh-CN"/>
        </w:rPr>
        <w:t>介绍</w:t>
      </w:r>
    </w:p>
    <w:p w14:paraId="70E134D9">
      <w:pPr>
        <w:numPr>
          <w:ilvl w:val="0"/>
          <w:numId w:val="0"/>
        </w:numPr>
        <w:ind w:firstLine="420" w:firstLineChars="0"/>
        <w:rPr>
          <w:rFonts w:hint="default" w:ascii="Times New Roman" w:hAnsi="Times New Roman" w:cs="Times New Roman"/>
          <w:lang w:val="en-US" w:eastAsia="zh-CN"/>
        </w:rPr>
      </w:pPr>
      <w:bookmarkStart w:id="2" w:name="OLE_LINK15"/>
      <w:r>
        <w:rPr>
          <w:rFonts w:hint="default" w:ascii="Times New Roman" w:hAnsi="Times New Roman" w:cs="Times New Roman"/>
          <w:lang w:val="en-US" w:eastAsia="zh-CN"/>
        </w:rPr>
        <w:t>财</w:t>
      </w:r>
      <w:bookmarkStart w:id="3" w:name="OLE_LINK13"/>
      <w:r>
        <w:rPr>
          <w:rFonts w:hint="default" w:ascii="Times New Roman" w:hAnsi="Times New Roman" w:cs="Times New Roman"/>
          <w:lang w:val="en-US" w:eastAsia="zh-CN"/>
        </w:rPr>
        <w:t>务报告的分析，特别是年度报告，在量化金融领域中获得了广泛的关注。年度报告是详细的文件，提供了关于</w:t>
      </w:r>
      <w:bookmarkStart w:id="4" w:name="OLE_LINK29"/>
      <w:r>
        <w:rPr>
          <w:rFonts w:hint="default" w:ascii="Times New Roman" w:hAnsi="Times New Roman" w:cs="Times New Roman"/>
          <w:lang w:val="en-US" w:eastAsia="zh-CN"/>
        </w:rPr>
        <w:t>公司财务状况、</w:t>
      </w:r>
      <w:bookmarkEnd w:id="2"/>
      <w:r>
        <w:rPr>
          <w:rFonts w:hint="default" w:ascii="Times New Roman" w:hAnsi="Times New Roman" w:cs="Times New Roman"/>
          <w:lang w:val="en-US" w:eastAsia="zh-CN"/>
        </w:rPr>
        <w:t>管理策略和未来前景的重要信息。这些报告对于投资者、分析师和研究人员评估公司表现并做出明智决策至</w:t>
      </w:r>
      <w:bookmarkEnd w:id="1"/>
      <w:r>
        <w:rPr>
          <w:rFonts w:hint="default" w:ascii="Times New Roman" w:hAnsi="Times New Roman" w:cs="Times New Roman"/>
          <w:lang w:val="en-US" w:eastAsia="zh-CN"/>
        </w:rPr>
        <w:t>关重要。</w:t>
      </w:r>
    </w:p>
    <w:p w14:paraId="537093C2">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在本项目中，我们将探讨</w:t>
      </w:r>
      <w:bookmarkEnd w:id="4"/>
      <w:r>
        <w:rPr>
          <w:rFonts w:hint="default" w:ascii="Times New Roman" w:hAnsi="Times New Roman" w:cs="Times New Roman"/>
          <w:lang w:val="en-US" w:eastAsia="zh-CN"/>
        </w:rPr>
        <w:t>沪深股市上</w:t>
      </w:r>
      <w:bookmarkEnd w:id="3"/>
      <w:r>
        <w:rPr>
          <w:rFonts w:hint="default" w:ascii="Times New Roman" w:hAnsi="Times New Roman" w:cs="Times New Roman"/>
          <w:lang w:val="en-US" w:eastAsia="zh-CN"/>
        </w:rPr>
        <w:t>市公司年度报告中包含的文本信息的预测能力。具体而言，我们将研究这些文本内容是否能够用来预测公司股票在未来一年的收益率。为此，我们将使用词袋模型（Bag of Words）、Word2Vec模型和Doc2Vec模型，对报告中的文本进行处理，并比较这些模型在预测股票收益率方面的效果。</w:t>
      </w:r>
    </w:p>
    <w:p w14:paraId="78980104">
      <w:pPr>
        <w:numPr>
          <w:ilvl w:val="0"/>
          <w:numId w:val="0"/>
        </w:numPr>
        <w:ind w:firstLine="420" w:firstLineChars="0"/>
        <w:rPr>
          <w:rFonts w:hint="eastAsia"/>
          <w:lang w:val="en-US" w:eastAsia="zh-CN"/>
        </w:rPr>
      </w:pPr>
      <w:bookmarkStart w:id="5" w:name="OLE_LINK3"/>
      <w:r>
        <w:rPr>
          <w:rFonts w:hint="default" w:ascii="Times New Roman" w:hAnsi="Times New Roman" w:cs="Times New Roman"/>
          <w:lang w:val="en-US" w:eastAsia="zh-CN"/>
        </w:rPr>
        <w:t>本项目的目标是评估文本分析方法在财务预测中的应用潜力，并通过样本外均方误差的比较</w:t>
      </w:r>
      <w:bookmarkStart w:id="6" w:name="OLE_LINK1"/>
      <w:r>
        <w:rPr>
          <w:rFonts w:hint="default" w:ascii="Times New Roman" w:hAnsi="Times New Roman" w:cs="Times New Roman"/>
          <w:lang w:val="en-US" w:eastAsia="zh-CN"/>
        </w:rPr>
        <w:t>，</w:t>
      </w:r>
      <w:bookmarkEnd w:id="6"/>
      <w:r>
        <w:rPr>
          <w:rFonts w:hint="default" w:ascii="Times New Roman" w:hAnsi="Times New Roman" w:cs="Times New Roman"/>
          <w:lang w:val="en-US" w:eastAsia="zh-CN"/>
        </w:rPr>
        <w:t>确定哪种模型在预测股票收益率方面表现最佳。通过这些分析，我们希望揭示年度报告中的文本信息与公司未来股价表现之间的潜在联系。</w:t>
      </w:r>
    </w:p>
    <w:bookmarkEnd w:id="5"/>
    <w:p w14:paraId="47FE4EC9">
      <w:pPr>
        <w:pStyle w:val="6"/>
        <w:bidi w:val="0"/>
        <w:rPr>
          <w:rFonts w:hint="default"/>
          <w:lang w:val="en-US" w:eastAsia="zh-CN"/>
        </w:rPr>
      </w:pPr>
      <w:bookmarkStart w:id="7" w:name="OLE_LINK32"/>
      <w:r>
        <w:rPr>
          <w:rFonts w:hint="eastAsia"/>
          <w:lang w:val="en-US" w:eastAsia="zh-CN"/>
        </w:rPr>
        <w:t>二、</w:t>
      </w:r>
      <w:r>
        <w:rPr>
          <w:rFonts w:hint="default"/>
          <w:lang w:val="en-US" w:eastAsia="zh-CN"/>
        </w:rPr>
        <w:t>数据下载</w:t>
      </w:r>
    </w:p>
    <w:bookmarkEnd w:id="7"/>
    <w:p w14:paraId="282DAAD0">
      <w:pPr>
        <w:pStyle w:val="7"/>
        <w:numPr>
          <w:ilvl w:val="0"/>
          <w:numId w:val="1"/>
        </w:numPr>
        <w:bidi w:val="0"/>
        <w:rPr>
          <w:rFonts w:hint="default"/>
          <w:lang w:val="en-US" w:eastAsia="zh-CN"/>
        </w:rPr>
      </w:pPr>
      <w:r>
        <w:rPr>
          <w:rFonts w:hint="eastAsia"/>
          <w:lang w:val="en-US" w:eastAsia="zh-CN"/>
        </w:rPr>
        <w:t>数据概述</w:t>
      </w:r>
    </w:p>
    <w:p w14:paraId="046D7860">
      <w:pPr>
        <w:numPr>
          <w:ilvl w:val="0"/>
          <w:numId w:val="0"/>
        </w:numPr>
        <w:ind w:firstLine="420" w:firstLineChars="0"/>
        <w:rPr>
          <w:rFonts w:hint="eastAsia" w:ascii="Times New Roman" w:hAnsi="Times New Roman" w:cs="Times New Roman"/>
          <w:lang w:val="en-US" w:eastAsia="zh-CN"/>
        </w:rPr>
      </w:pPr>
      <w:r>
        <w:rPr>
          <w:rFonts w:hint="default" w:ascii="Times New Roman" w:hAnsi="Times New Roman" w:cs="Times New Roman"/>
          <w:lang w:val="en-US" w:eastAsia="zh-CN"/>
        </w:rPr>
        <w:t>根据作业要求</w:t>
      </w:r>
      <w:bookmarkStart w:id="8" w:name="OLE_LINK2"/>
      <w:r>
        <w:rPr>
          <w:rFonts w:hint="default" w:ascii="Times New Roman" w:hAnsi="Times New Roman" w:cs="Times New Roman"/>
          <w:lang w:val="en-US" w:eastAsia="zh-CN"/>
        </w:rPr>
        <w:t>，我们需要至少500份</w:t>
      </w:r>
      <w:r>
        <w:rPr>
          <w:rFonts w:hint="eastAsia" w:ascii="Times New Roman" w:hAnsi="Times New Roman" w:cs="Times New Roman"/>
          <w:lang w:val="en-US" w:eastAsia="zh-CN"/>
        </w:rPr>
        <w:t>企业年报，考虑到中国A股市场的特点，市值较大企业的信息披露较为完</w:t>
      </w:r>
      <w:bookmarkEnd w:id="8"/>
      <w:r>
        <w:rPr>
          <w:rFonts w:hint="eastAsia" w:ascii="Times New Roman" w:hAnsi="Times New Roman" w:cs="Times New Roman"/>
          <w:lang w:val="en-US" w:eastAsia="zh-CN"/>
        </w:rPr>
        <w:t>善、财务造假风险较小，我们选择沪深300指数成分股作为股票域。</w:t>
      </w:r>
    </w:p>
    <w:p w14:paraId="4F8C27C2">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由于作业要求中涉及未来一年和未来两年的预测，因此我们需要预留2022年、2023年作为预测的年份，因此我们下载沪深300成分股2020和2021年的年报，其未来一年收益率分别对应2021年和2022年，未来两年收益率分别对应2022年和2023年。</w:t>
      </w:r>
    </w:p>
    <w:p w14:paraId="7D0AB733">
      <w:pPr>
        <w:pStyle w:val="7"/>
        <w:numPr>
          <w:ilvl w:val="0"/>
          <w:numId w:val="1"/>
        </w:numPr>
        <w:bidi w:val="0"/>
        <w:rPr>
          <w:rFonts w:hint="default"/>
          <w:lang w:val="en-US" w:eastAsia="zh-CN"/>
        </w:rPr>
      </w:pPr>
      <w:r>
        <w:rPr>
          <w:rFonts w:hint="eastAsia"/>
          <w:lang w:val="en-US" w:eastAsia="zh-CN"/>
        </w:rPr>
        <w:t>成分股数据</w:t>
      </w:r>
    </w:p>
    <w:p w14:paraId="09D47882">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如上所述，我们从同花顺下载2024年8月4日沪深300指数的成分股数据，下载的数据如表1所示：</w:t>
      </w:r>
    </w:p>
    <w:p w14:paraId="0A24C0CD">
      <w:pPr>
        <w:pStyle w:val="8"/>
        <w:jc w:val="center"/>
        <w:rPr>
          <w:rFonts w:hint="eastAsia" w:eastAsia="宋体"/>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沪深300成分股数据</w:t>
      </w:r>
    </w:p>
    <w:tbl>
      <w:tblPr>
        <w:tblStyle w:val="1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40"/>
        <w:gridCol w:w="2840"/>
      </w:tblGrid>
      <w:tr w14:paraId="34E8C9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single" w:color="000000" w:sz="12" w:space="0"/>
              <w:left w:val="nil"/>
              <w:bottom w:val="single" w:color="000000" w:sz="4" w:space="0"/>
              <w:right w:val="nil"/>
              <w:tl2br w:val="nil"/>
            </w:tcBorders>
            <w:shd w:val="clear" w:color="auto" w:fill="FFFFFF"/>
            <w:vAlign w:val="top"/>
          </w:tcPr>
          <w:p w14:paraId="16D620BD">
            <w:pPr>
              <w:keepNext w:val="0"/>
              <w:keepLines w:val="0"/>
              <w:widowControl/>
              <w:suppressLineNumbers w:val="0"/>
              <w:jc w:val="center"/>
              <w:textAlignment w:val="top"/>
              <w:rPr>
                <w:rFonts w:hint="default" w:ascii="Times New Roman" w:hAnsi="Times New Roman" w:cs="Times New Roman"/>
                <w:b w:val="0"/>
                <w:color w:val="000000"/>
                <w:vertAlign w:val="baseline"/>
                <w:lang w:val="en-US" w:eastAsia="zh-CN"/>
              </w:rPr>
            </w:pPr>
            <w:r>
              <w:rPr>
                <w:rFonts w:hint="eastAsia" w:ascii="宋体" w:hAnsi="宋体" w:eastAsia="宋体" w:cs="宋体"/>
                <w:b w:val="0"/>
                <w:bCs/>
                <w:i w:val="0"/>
                <w:iCs w:val="0"/>
                <w:color w:val="000000"/>
                <w:kern w:val="0"/>
                <w:sz w:val="22"/>
                <w:szCs w:val="22"/>
                <w:u w:val="none"/>
                <w:lang w:val="en-US" w:eastAsia="zh-CN" w:bidi="ar"/>
              </w:rPr>
              <w:t>code_full</w:t>
            </w:r>
          </w:p>
        </w:tc>
        <w:tc>
          <w:tcPr>
            <w:tcW w:w="1666" w:type="pct"/>
            <w:tcBorders>
              <w:top w:val="single" w:color="000000" w:sz="12" w:space="0"/>
              <w:left w:val="nil"/>
              <w:bottom w:val="single" w:color="000000" w:sz="4" w:space="0"/>
              <w:right w:val="nil"/>
            </w:tcBorders>
            <w:shd w:val="clear" w:color="auto" w:fill="FFFFFF"/>
            <w:vAlign w:val="top"/>
          </w:tcPr>
          <w:p w14:paraId="105533A2">
            <w:pPr>
              <w:keepNext w:val="0"/>
              <w:keepLines w:val="0"/>
              <w:widowControl/>
              <w:suppressLineNumbers w:val="0"/>
              <w:jc w:val="center"/>
              <w:textAlignment w:val="top"/>
              <w:rPr>
                <w:rFonts w:hint="default" w:ascii="Times New Roman" w:hAnsi="Times New Roman" w:cs="Times New Roman"/>
                <w:b w:val="0"/>
                <w:color w:val="000000"/>
                <w:vertAlign w:val="baseline"/>
                <w:lang w:val="en-US" w:eastAsia="zh-CN"/>
              </w:rPr>
            </w:pPr>
            <w:r>
              <w:rPr>
                <w:rFonts w:hint="eastAsia" w:ascii="宋体" w:hAnsi="宋体" w:eastAsia="宋体" w:cs="宋体"/>
                <w:b w:val="0"/>
                <w:bCs/>
                <w:i w:val="0"/>
                <w:iCs w:val="0"/>
                <w:color w:val="000000"/>
                <w:kern w:val="0"/>
                <w:sz w:val="22"/>
                <w:szCs w:val="22"/>
                <w:u w:val="none"/>
                <w:lang w:val="en-US" w:eastAsia="zh-CN" w:bidi="ar"/>
              </w:rPr>
              <w:t>name</w:t>
            </w:r>
          </w:p>
        </w:tc>
        <w:tc>
          <w:tcPr>
            <w:tcW w:w="1666" w:type="pct"/>
            <w:tcBorders>
              <w:top w:val="single" w:color="000000" w:sz="12" w:space="0"/>
              <w:left w:val="nil"/>
              <w:bottom w:val="single" w:color="000000" w:sz="4" w:space="0"/>
              <w:right w:val="nil"/>
            </w:tcBorders>
            <w:shd w:val="clear" w:color="auto" w:fill="FFFFFF"/>
            <w:vAlign w:val="top"/>
          </w:tcPr>
          <w:p w14:paraId="040DCA61">
            <w:pPr>
              <w:keepNext w:val="0"/>
              <w:keepLines w:val="0"/>
              <w:widowControl/>
              <w:suppressLineNumbers w:val="0"/>
              <w:jc w:val="center"/>
              <w:textAlignment w:val="top"/>
              <w:rPr>
                <w:rFonts w:hint="default" w:ascii="Times New Roman" w:hAnsi="Times New Roman" w:cs="Times New Roman"/>
                <w:b w:val="0"/>
                <w:color w:val="000000"/>
                <w:vertAlign w:val="baseline"/>
                <w:lang w:val="en-US" w:eastAsia="zh-CN"/>
              </w:rPr>
            </w:pPr>
            <w:r>
              <w:rPr>
                <w:rFonts w:hint="eastAsia" w:ascii="宋体" w:hAnsi="宋体" w:eastAsia="宋体" w:cs="宋体"/>
                <w:b w:val="0"/>
                <w:bCs/>
                <w:i w:val="0"/>
                <w:iCs w:val="0"/>
                <w:color w:val="000000"/>
                <w:kern w:val="0"/>
                <w:sz w:val="22"/>
                <w:szCs w:val="22"/>
                <w:u w:val="none"/>
                <w:lang w:val="en-US" w:eastAsia="zh-CN" w:bidi="ar"/>
              </w:rPr>
              <w:t>code</w:t>
            </w:r>
          </w:p>
        </w:tc>
      </w:tr>
      <w:tr w14:paraId="04DD5D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single" w:color="000000" w:sz="4" w:space="0"/>
              <w:left w:val="nil"/>
              <w:bottom w:val="nil"/>
              <w:right w:val="nil"/>
            </w:tcBorders>
            <w:shd w:val="clear" w:color="auto" w:fill="FFFFFF"/>
            <w:vAlign w:val="bottom"/>
          </w:tcPr>
          <w:p w14:paraId="0F358A37">
            <w:pPr>
              <w:keepNext w:val="0"/>
              <w:keepLines w:val="0"/>
              <w:widowControl/>
              <w:suppressLineNumbers w:val="0"/>
              <w:jc w:val="center"/>
              <w:textAlignment w:val="bottom"/>
              <w:rPr>
                <w:rFonts w:hint="default" w:ascii="Times New Roman" w:hAnsi="Times New Roman" w:cs="Times New Roman"/>
                <w:b w:val="0"/>
                <w:color w:val="000000"/>
                <w:vertAlign w:val="baseline"/>
                <w:lang w:val="en-US" w:eastAsia="zh-CN"/>
              </w:rPr>
            </w:pPr>
            <w:r>
              <w:rPr>
                <w:rFonts w:hint="eastAsia" w:ascii="宋体" w:hAnsi="宋体" w:eastAsia="宋体" w:cs="宋体"/>
                <w:b w:val="0"/>
                <w:i w:val="0"/>
                <w:iCs w:val="0"/>
                <w:color w:val="000000"/>
                <w:kern w:val="0"/>
                <w:sz w:val="22"/>
                <w:szCs w:val="22"/>
                <w:u w:val="none"/>
                <w:lang w:val="en-US" w:eastAsia="zh-CN" w:bidi="ar"/>
              </w:rPr>
              <w:t>000001.SZ</w:t>
            </w:r>
          </w:p>
        </w:tc>
        <w:tc>
          <w:tcPr>
            <w:tcW w:w="1666" w:type="pct"/>
            <w:tcBorders>
              <w:top w:val="single" w:color="000000" w:sz="4" w:space="0"/>
              <w:left w:val="nil"/>
              <w:bottom w:val="nil"/>
              <w:right w:val="nil"/>
            </w:tcBorders>
            <w:shd w:val="clear" w:color="auto" w:fill="FFFFFF"/>
            <w:vAlign w:val="bottom"/>
          </w:tcPr>
          <w:p w14:paraId="740CD9DC">
            <w:pPr>
              <w:keepNext w:val="0"/>
              <w:keepLines w:val="0"/>
              <w:widowControl/>
              <w:suppressLineNumbers w:val="0"/>
              <w:jc w:val="center"/>
              <w:textAlignment w:val="bottom"/>
              <w:rPr>
                <w:rFonts w:hint="default" w:ascii="Times New Roman" w:hAnsi="Times New Roman" w:cs="Times New Roman"/>
                <w:b w:val="0"/>
                <w:color w:val="000000"/>
                <w:vertAlign w:val="baseline"/>
                <w:lang w:val="en-US" w:eastAsia="zh-CN"/>
              </w:rPr>
            </w:pPr>
            <w:r>
              <w:rPr>
                <w:rFonts w:hint="eastAsia" w:ascii="宋体" w:hAnsi="宋体" w:eastAsia="宋体" w:cs="宋体"/>
                <w:b w:val="0"/>
                <w:i w:val="0"/>
                <w:iCs w:val="0"/>
                <w:color w:val="000000"/>
                <w:kern w:val="0"/>
                <w:sz w:val="22"/>
                <w:szCs w:val="22"/>
                <w:u w:val="none"/>
                <w:lang w:val="en-US" w:eastAsia="zh-CN" w:bidi="ar"/>
              </w:rPr>
              <w:t>平安银行</w:t>
            </w:r>
          </w:p>
        </w:tc>
        <w:tc>
          <w:tcPr>
            <w:tcW w:w="1666" w:type="pct"/>
            <w:tcBorders>
              <w:top w:val="single" w:color="000000" w:sz="4" w:space="0"/>
              <w:left w:val="nil"/>
              <w:bottom w:val="nil"/>
              <w:right w:val="nil"/>
            </w:tcBorders>
            <w:shd w:val="clear" w:color="auto" w:fill="FFFFFF"/>
            <w:vAlign w:val="bottom"/>
          </w:tcPr>
          <w:p w14:paraId="6656062F">
            <w:pPr>
              <w:keepNext w:val="0"/>
              <w:keepLines w:val="0"/>
              <w:widowControl/>
              <w:suppressLineNumbers w:val="0"/>
              <w:jc w:val="center"/>
              <w:textAlignment w:val="bottom"/>
              <w:rPr>
                <w:rFonts w:hint="default" w:ascii="Times New Roman" w:hAnsi="Times New Roman" w:cs="Times New Roman"/>
                <w:b w:val="0"/>
                <w:color w:val="000000"/>
                <w:vertAlign w:val="baseline"/>
                <w:lang w:val="en-US" w:eastAsia="zh-CN"/>
              </w:rPr>
            </w:pPr>
            <w:r>
              <w:rPr>
                <w:rFonts w:hint="eastAsia" w:ascii="宋体" w:hAnsi="宋体" w:eastAsia="宋体" w:cs="宋体"/>
                <w:b w:val="0"/>
                <w:i w:val="0"/>
                <w:iCs w:val="0"/>
                <w:color w:val="000000"/>
                <w:kern w:val="0"/>
                <w:sz w:val="22"/>
                <w:szCs w:val="22"/>
                <w:u w:val="none"/>
                <w:lang w:val="en-US" w:eastAsia="zh-CN" w:bidi="ar"/>
              </w:rPr>
              <w:t>000001</w:t>
            </w:r>
          </w:p>
        </w:tc>
      </w:tr>
      <w:tr w14:paraId="686777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shd w:val="clear" w:color="auto" w:fill="FFFFFF"/>
            <w:vAlign w:val="bottom"/>
          </w:tcPr>
          <w:p w14:paraId="16895B4A">
            <w:pPr>
              <w:keepNext w:val="0"/>
              <w:keepLines w:val="0"/>
              <w:widowControl/>
              <w:suppressLineNumbers w:val="0"/>
              <w:jc w:val="center"/>
              <w:textAlignment w:val="bottom"/>
              <w:rPr>
                <w:rFonts w:hint="default" w:ascii="Times New Roman" w:hAnsi="Times New Roman" w:cs="Times New Roman"/>
                <w:b w:val="0"/>
                <w:color w:val="000000"/>
                <w:vertAlign w:val="baseline"/>
                <w:lang w:val="en-US" w:eastAsia="zh-CN"/>
              </w:rPr>
            </w:pPr>
            <w:r>
              <w:rPr>
                <w:rFonts w:hint="eastAsia" w:ascii="宋体" w:hAnsi="宋体" w:eastAsia="宋体" w:cs="宋体"/>
                <w:b w:val="0"/>
                <w:i w:val="0"/>
                <w:iCs w:val="0"/>
                <w:color w:val="000000"/>
                <w:kern w:val="0"/>
                <w:sz w:val="22"/>
                <w:szCs w:val="22"/>
                <w:u w:val="none"/>
                <w:lang w:val="en-US" w:eastAsia="zh-CN" w:bidi="ar"/>
              </w:rPr>
              <w:t>000002.SZ</w:t>
            </w:r>
          </w:p>
        </w:tc>
        <w:tc>
          <w:tcPr>
            <w:tcW w:w="1666" w:type="pct"/>
            <w:tcBorders>
              <w:top w:val="nil"/>
              <w:left w:val="nil"/>
              <w:bottom w:val="nil"/>
              <w:right w:val="nil"/>
            </w:tcBorders>
            <w:shd w:val="clear" w:color="auto" w:fill="FFFFFF"/>
            <w:vAlign w:val="bottom"/>
          </w:tcPr>
          <w:p w14:paraId="3508BAAE">
            <w:pPr>
              <w:keepNext w:val="0"/>
              <w:keepLines w:val="0"/>
              <w:widowControl/>
              <w:suppressLineNumbers w:val="0"/>
              <w:jc w:val="center"/>
              <w:textAlignment w:val="bottom"/>
              <w:rPr>
                <w:rFonts w:hint="default" w:ascii="Times New Roman" w:hAnsi="Times New Roman" w:cs="Times New Roman"/>
                <w:b w:val="0"/>
                <w:color w:val="000000"/>
                <w:vertAlign w:val="baseline"/>
                <w:lang w:val="en-US" w:eastAsia="zh-CN"/>
              </w:rPr>
            </w:pPr>
            <w:r>
              <w:rPr>
                <w:rFonts w:hint="eastAsia" w:ascii="宋体" w:hAnsi="宋体" w:eastAsia="宋体" w:cs="宋体"/>
                <w:b w:val="0"/>
                <w:i w:val="0"/>
                <w:iCs w:val="0"/>
                <w:color w:val="000000"/>
                <w:kern w:val="0"/>
                <w:sz w:val="22"/>
                <w:szCs w:val="22"/>
                <w:u w:val="none"/>
                <w:lang w:val="en-US" w:eastAsia="zh-CN" w:bidi="ar"/>
              </w:rPr>
              <w:t>万科A</w:t>
            </w:r>
          </w:p>
        </w:tc>
        <w:tc>
          <w:tcPr>
            <w:tcW w:w="1666" w:type="pct"/>
            <w:tcBorders>
              <w:top w:val="nil"/>
              <w:left w:val="nil"/>
              <w:bottom w:val="nil"/>
              <w:right w:val="nil"/>
            </w:tcBorders>
            <w:shd w:val="clear" w:color="auto" w:fill="FFFFFF"/>
            <w:vAlign w:val="bottom"/>
          </w:tcPr>
          <w:p w14:paraId="4BC12D03">
            <w:pPr>
              <w:keepNext w:val="0"/>
              <w:keepLines w:val="0"/>
              <w:widowControl/>
              <w:suppressLineNumbers w:val="0"/>
              <w:jc w:val="center"/>
              <w:textAlignment w:val="bottom"/>
              <w:rPr>
                <w:rFonts w:hint="default" w:ascii="Times New Roman" w:hAnsi="Times New Roman" w:cs="Times New Roman"/>
                <w:b w:val="0"/>
                <w:color w:val="000000"/>
                <w:vertAlign w:val="baseline"/>
                <w:lang w:val="en-US" w:eastAsia="zh-CN"/>
              </w:rPr>
            </w:pPr>
            <w:r>
              <w:rPr>
                <w:rFonts w:hint="eastAsia" w:ascii="宋体" w:hAnsi="宋体" w:eastAsia="宋体" w:cs="宋体"/>
                <w:b w:val="0"/>
                <w:i w:val="0"/>
                <w:iCs w:val="0"/>
                <w:color w:val="000000"/>
                <w:kern w:val="0"/>
                <w:sz w:val="22"/>
                <w:szCs w:val="22"/>
                <w:u w:val="none"/>
                <w:lang w:val="en-US" w:eastAsia="zh-CN" w:bidi="ar"/>
              </w:rPr>
              <w:t>000002</w:t>
            </w:r>
          </w:p>
        </w:tc>
      </w:tr>
      <w:tr w14:paraId="1753E4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shd w:val="clear" w:color="auto" w:fill="FFFFFF"/>
            <w:vAlign w:val="bottom"/>
          </w:tcPr>
          <w:p w14:paraId="268E4C1E">
            <w:pPr>
              <w:keepNext w:val="0"/>
              <w:keepLines w:val="0"/>
              <w:widowControl/>
              <w:suppressLineNumbers w:val="0"/>
              <w:jc w:val="center"/>
              <w:textAlignment w:val="bottom"/>
              <w:rPr>
                <w:rFonts w:hint="default" w:ascii="Times New Roman" w:hAnsi="Times New Roman" w:cs="Times New Roman"/>
                <w:b w:val="0"/>
                <w:color w:val="000000"/>
                <w:vertAlign w:val="baseline"/>
                <w:lang w:val="en-US" w:eastAsia="zh-CN"/>
              </w:rPr>
            </w:pPr>
            <w:r>
              <w:rPr>
                <w:rFonts w:hint="eastAsia" w:ascii="宋体" w:hAnsi="宋体" w:eastAsia="宋体" w:cs="宋体"/>
                <w:b w:val="0"/>
                <w:i w:val="0"/>
                <w:iCs w:val="0"/>
                <w:color w:val="000000"/>
                <w:kern w:val="0"/>
                <w:sz w:val="22"/>
                <w:szCs w:val="22"/>
                <w:u w:val="none"/>
                <w:lang w:val="en-US" w:eastAsia="zh-CN" w:bidi="ar"/>
              </w:rPr>
              <w:t>000063.SZ</w:t>
            </w:r>
          </w:p>
        </w:tc>
        <w:tc>
          <w:tcPr>
            <w:tcW w:w="1666" w:type="pct"/>
            <w:tcBorders>
              <w:top w:val="nil"/>
              <w:left w:val="nil"/>
              <w:bottom w:val="nil"/>
              <w:right w:val="nil"/>
            </w:tcBorders>
            <w:shd w:val="clear" w:color="auto" w:fill="FFFFFF"/>
            <w:vAlign w:val="bottom"/>
          </w:tcPr>
          <w:p w14:paraId="13D0DF42">
            <w:pPr>
              <w:keepNext w:val="0"/>
              <w:keepLines w:val="0"/>
              <w:widowControl/>
              <w:suppressLineNumbers w:val="0"/>
              <w:jc w:val="center"/>
              <w:textAlignment w:val="bottom"/>
              <w:rPr>
                <w:rFonts w:hint="default" w:ascii="Times New Roman" w:hAnsi="Times New Roman" w:cs="Times New Roman"/>
                <w:b w:val="0"/>
                <w:color w:val="000000"/>
                <w:vertAlign w:val="baseline"/>
                <w:lang w:val="en-US" w:eastAsia="zh-CN"/>
              </w:rPr>
            </w:pPr>
            <w:r>
              <w:rPr>
                <w:rFonts w:hint="eastAsia" w:ascii="宋体" w:hAnsi="宋体" w:eastAsia="宋体" w:cs="宋体"/>
                <w:b w:val="0"/>
                <w:i w:val="0"/>
                <w:iCs w:val="0"/>
                <w:color w:val="000000"/>
                <w:kern w:val="0"/>
                <w:sz w:val="22"/>
                <w:szCs w:val="22"/>
                <w:u w:val="none"/>
                <w:lang w:val="en-US" w:eastAsia="zh-CN" w:bidi="ar"/>
              </w:rPr>
              <w:t>中兴通讯</w:t>
            </w:r>
          </w:p>
        </w:tc>
        <w:tc>
          <w:tcPr>
            <w:tcW w:w="1666" w:type="pct"/>
            <w:tcBorders>
              <w:top w:val="nil"/>
              <w:left w:val="nil"/>
              <w:bottom w:val="nil"/>
              <w:right w:val="nil"/>
            </w:tcBorders>
            <w:shd w:val="clear" w:color="auto" w:fill="FFFFFF"/>
            <w:vAlign w:val="bottom"/>
          </w:tcPr>
          <w:p w14:paraId="6E6F8FBF">
            <w:pPr>
              <w:keepNext w:val="0"/>
              <w:keepLines w:val="0"/>
              <w:widowControl/>
              <w:suppressLineNumbers w:val="0"/>
              <w:jc w:val="center"/>
              <w:textAlignment w:val="bottom"/>
              <w:rPr>
                <w:rFonts w:hint="default" w:ascii="Times New Roman" w:hAnsi="Times New Roman" w:cs="Times New Roman"/>
                <w:b w:val="0"/>
                <w:color w:val="000000"/>
                <w:vertAlign w:val="baseline"/>
                <w:lang w:val="en-US" w:eastAsia="zh-CN"/>
              </w:rPr>
            </w:pPr>
            <w:r>
              <w:rPr>
                <w:rFonts w:hint="eastAsia" w:ascii="宋体" w:hAnsi="宋体" w:eastAsia="宋体" w:cs="宋体"/>
                <w:b w:val="0"/>
                <w:i w:val="0"/>
                <w:iCs w:val="0"/>
                <w:color w:val="000000"/>
                <w:kern w:val="0"/>
                <w:sz w:val="22"/>
                <w:szCs w:val="22"/>
                <w:u w:val="none"/>
                <w:lang w:val="en-US" w:eastAsia="zh-CN" w:bidi="ar"/>
              </w:rPr>
              <w:t>000063</w:t>
            </w:r>
          </w:p>
        </w:tc>
      </w:tr>
      <w:tr w14:paraId="0CE969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666" w:type="pct"/>
            <w:tcBorders>
              <w:top w:val="nil"/>
              <w:left w:val="nil"/>
              <w:bottom w:val="nil"/>
              <w:right w:val="nil"/>
            </w:tcBorders>
            <w:shd w:val="clear" w:color="auto" w:fill="FFFFFF"/>
            <w:vAlign w:val="bottom"/>
          </w:tcPr>
          <w:p w14:paraId="2A36C810">
            <w:pPr>
              <w:keepNext w:val="0"/>
              <w:keepLines w:val="0"/>
              <w:widowControl/>
              <w:suppressLineNumbers w:val="0"/>
              <w:jc w:val="center"/>
              <w:textAlignment w:val="bottom"/>
              <w:rPr>
                <w:rFonts w:hint="default" w:ascii="Times New Roman" w:hAnsi="Times New Roman" w:cs="Times New Roman"/>
                <w:b w:val="0"/>
                <w:color w:val="000000"/>
                <w:vertAlign w:val="baseline"/>
                <w:lang w:val="en-US" w:eastAsia="zh-CN"/>
              </w:rPr>
            </w:pPr>
            <w:r>
              <w:rPr>
                <w:rFonts w:hint="eastAsia" w:ascii="宋体" w:hAnsi="宋体" w:eastAsia="宋体" w:cs="宋体"/>
                <w:b w:val="0"/>
                <w:i w:val="0"/>
                <w:iCs w:val="0"/>
                <w:color w:val="000000"/>
                <w:kern w:val="0"/>
                <w:sz w:val="22"/>
                <w:szCs w:val="22"/>
                <w:u w:val="none"/>
                <w:lang w:val="en-US" w:eastAsia="zh-CN" w:bidi="ar"/>
              </w:rPr>
              <w:t>000100.SZ</w:t>
            </w:r>
          </w:p>
        </w:tc>
        <w:tc>
          <w:tcPr>
            <w:tcW w:w="1666" w:type="pct"/>
            <w:tcBorders>
              <w:top w:val="nil"/>
              <w:left w:val="nil"/>
              <w:bottom w:val="nil"/>
              <w:right w:val="nil"/>
            </w:tcBorders>
            <w:shd w:val="clear" w:color="auto" w:fill="FFFFFF"/>
            <w:vAlign w:val="bottom"/>
          </w:tcPr>
          <w:p w14:paraId="5F5B9630">
            <w:pPr>
              <w:keepNext w:val="0"/>
              <w:keepLines w:val="0"/>
              <w:widowControl/>
              <w:suppressLineNumbers w:val="0"/>
              <w:jc w:val="center"/>
              <w:textAlignment w:val="bottom"/>
              <w:rPr>
                <w:rFonts w:hint="default" w:ascii="Times New Roman" w:hAnsi="Times New Roman" w:cs="Times New Roman"/>
                <w:b w:val="0"/>
                <w:color w:val="000000"/>
                <w:vertAlign w:val="baseline"/>
                <w:lang w:val="en-US" w:eastAsia="zh-CN"/>
              </w:rPr>
            </w:pPr>
            <w:r>
              <w:rPr>
                <w:rFonts w:hint="eastAsia" w:ascii="宋体" w:hAnsi="宋体" w:eastAsia="宋体" w:cs="宋体"/>
                <w:b w:val="0"/>
                <w:i w:val="0"/>
                <w:iCs w:val="0"/>
                <w:color w:val="000000"/>
                <w:kern w:val="0"/>
                <w:sz w:val="22"/>
                <w:szCs w:val="22"/>
                <w:u w:val="none"/>
                <w:lang w:val="en-US" w:eastAsia="zh-CN" w:bidi="ar"/>
              </w:rPr>
              <w:t>TCL科技</w:t>
            </w:r>
          </w:p>
        </w:tc>
        <w:tc>
          <w:tcPr>
            <w:tcW w:w="1666" w:type="pct"/>
            <w:tcBorders>
              <w:top w:val="nil"/>
              <w:left w:val="nil"/>
              <w:bottom w:val="nil"/>
              <w:right w:val="nil"/>
            </w:tcBorders>
            <w:shd w:val="clear" w:color="auto" w:fill="FFFFFF"/>
            <w:vAlign w:val="bottom"/>
          </w:tcPr>
          <w:p w14:paraId="7CD493A3">
            <w:pPr>
              <w:keepNext w:val="0"/>
              <w:keepLines w:val="0"/>
              <w:widowControl/>
              <w:suppressLineNumbers w:val="0"/>
              <w:jc w:val="center"/>
              <w:textAlignment w:val="bottom"/>
              <w:rPr>
                <w:rFonts w:hint="default" w:ascii="Times New Roman" w:hAnsi="Times New Roman" w:cs="Times New Roman"/>
                <w:b w:val="0"/>
                <w:color w:val="000000"/>
                <w:vertAlign w:val="baseline"/>
                <w:lang w:val="en-US" w:eastAsia="zh-CN"/>
              </w:rPr>
            </w:pPr>
            <w:r>
              <w:rPr>
                <w:rFonts w:hint="eastAsia" w:ascii="宋体" w:hAnsi="宋体" w:eastAsia="宋体" w:cs="宋体"/>
                <w:b w:val="0"/>
                <w:i w:val="0"/>
                <w:iCs w:val="0"/>
                <w:color w:val="000000"/>
                <w:kern w:val="0"/>
                <w:sz w:val="22"/>
                <w:szCs w:val="22"/>
                <w:u w:val="none"/>
                <w:lang w:val="en-US" w:eastAsia="zh-CN" w:bidi="ar"/>
              </w:rPr>
              <w:t>000100</w:t>
            </w:r>
          </w:p>
        </w:tc>
      </w:tr>
      <w:tr w14:paraId="4920A2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single" w:color="000000" w:sz="12" w:space="0"/>
              <w:right w:val="nil"/>
            </w:tcBorders>
            <w:shd w:val="clear" w:color="auto" w:fill="FFFFFF"/>
            <w:vAlign w:val="bottom"/>
          </w:tcPr>
          <w:p w14:paraId="5CB01AE0">
            <w:pPr>
              <w:keepNext w:val="0"/>
              <w:keepLines w:val="0"/>
              <w:widowControl/>
              <w:suppressLineNumbers w:val="0"/>
              <w:jc w:val="center"/>
              <w:textAlignment w:val="bottom"/>
              <w:rPr>
                <w:rFonts w:hint="default" w:ascii="Times New Roman" w:hAnsi="Times New Roman" w:cs="Times New Roman"/>
                <w:b w:val="0"/>
                <w:color w:val="000000"/>
                <w:vertAlign w:val="baseline"/>
                <w:lang w:val="en-US" w:eastAsia="zh-CN"/>
              </w:rPr>
            </w:pPr>
            <w:r>
              <w:rPr>
                <w:rFonts w:hint="eastAsia" w:ascii="宋体" w:hAnsi="宋体" w:eastAsia="宋体" w:cs="宋体"/>
                <w:b w:val="0"/>
                <w:i w:val="0"/>
                <w:iCs w:val="0"/>
                <w:color w:val="000000"/>
                <w:kern w:val="0"/>
                <w:sz w:val="22"/>
                <w:szCs w:val="22"/>
                <w:u w:val="none"/>
                <w:lang w:val="en-US" w:eastAsia="zh-CN" w:bidi="ar"/>
              </w:rPr>
              <w:t>000166.SZ</w:t>
            </w:r>
          </w:p>
        </w:tc>
        <w:tc>
          <w:tcPr>
            <w:tcW w:w="1666" w:type="pct"/>
            <w:tcBorders>
              <w:top w:val="nil"/>
              <w:left w:val="nil"/>
              <w:bottom w:val="single" w:color="000000" w:sz="12" w:space="0"/>
              <w:right w:val="nil"/>
            </w:tcBorders>
            <w:shd w:val="clear" w:color="auto" w:fill="FFFFFF"/>
            <w:vAlign w:val="bottom"/>
          </w:tcPr>
          <w:p w14:paraId="25A35F59">
            <w:pPr>
              <w:keepNext w:val="0"/>
              <w:keepLines w:val="0"/>
              <w:widowControl/>
              <w:suppressLineNumbers w:val="0"/>
              <w:jc w:val="center"/>
              <w:textAlignment w:val="bottom"/>
              <w:rPr>
                <w:rFonts w:hint="default" w:ascii="Times New Roman" w:hAnsi="Times New Roman" w:cs="Times New Roman"/>
                <w:b w:val="0"/>
                <w:color w:val="000000"/>
                <w:vertAlign w:val="baseline"/>
                <w:lang w:val="en-US" w:eastAsia="zh-CN"/>
              </w:rPr>
            </w:pPr>
            <w:r>
              <w:rPr>
                <w:rFonts w:hint="eastAsia" w:ascii="宋体" w:hAnsi="宋体" w:eastAsia="宋体" w:cs="宋体"/>
                <w:b w:val="0"/>
                <w:i w:val="0"/>
                <w:iCs w:val="0"/>
                <w:color w:val="000000"/>
                <w:kern w:val="0"/>
                <w:sz w:val="22"/>
                <w:szCs w:val="22"/>
                <w:u w:val="none"/>
                <w:lang w:val="en-US" w:eastAsia="zh-CN" w:bidi="ar"/>
              </w:rPr>
              <w:t>申万宏源</w:t>
            </w:r>
          </w:p>
        </w:tc>
        <w:tc>
          <w:tcPr>
            <w:tcW w:w="1666" w:type="pct"/>
            <w:tcBorders>
              <w:top w:val="nil"/>
              <w:left w:val="nil"/>
              <w:bottom w:val="single" w:color="000000" w:sz="12" w:space="0"/>
              <w:right w:val="nil"/>
            </w:tcBorders>
            <w:shd w:val="clear" w:color="auto" w:fill="FFFFFF"/>
            <w:vAlign w:val="bottom"/>
          </w:tcPr>
          <w:p w14:paraId="6DC916B6">
            <w:pPr>
              <w:keepNext w:val="0"/>
              <w:keepLines w:val="0"/>
              <w:widowControl/>
              <w:suppressLineNumbers w:val="0"/>
              <w:jc w:val="center"/>
              <w:textAlignment w:val="bottom"/>
              <w:rPr>
                <w:rFonts w:hint="default" w:ascii="Times New Roman" w:hAnsi="Times New Roman" w:cs="Times New Roman"/>
                <w:b w:val="0"/>
                <w:color w:val="000000"/>
                <w:vertAlign w:val="baseline"/>
                <w:lang w:val="en-US" w:eastAsia="zh-CN"/>
              </w:rPr>
            </w:pPr>
            <w:r>
              <w:rPr>
                <w:rFonts w:hint="eastAsia" w:ascii="宋体" w:hAnsi="宋体" w:eastAsia="宋体" w:cs="宋体"/>
                <w:b w:val="0"/>
                <w:i w:val="0"/>
                <w:iCs w:val="0"/>
                <w:color w:val="000000"/>
                <w:kern w:val="0"/>
                <w:sz w:val="22"/>
                <w:szCs w:val="22"/>
                <w:u w:val="none"/>
                <w:lang w:val="en-US" w:eastAsia="zh-CN" w:bidi="ar"/>
              </w:rPr>
              <w:t>000166</w:t>
            </w:r>
          </w:p>
        </w:tc>
      </w:tr>
    </w:tbl>
    <w:p w14:paraId="2BACAACC">
      <w:pPr>
        <w:pStyle w:val="7"/>
        <w:numPr>
          <w:ilvl w:val="0"/>
          <w:numId w:val="1"/>
        </w:numPr>
        <w:bidi w:val="0"/>
        <w:rPr>
          <w:rFonts w:hint="default"/>
          <w:lang w:val="en-US" w:eastAsia="zh-CN"/>
        </w:rPr>
      </w:pPr>
      <w:r>
        <w:rPr>
          <w:rFonts w:hint="eastAsia"/>
          <w:lang w:val="en-US" w:eastAsia="zh-CN"/>
        </w:rPr>
        <w:t>年报数据</w:t>
      </w:r>
    </w:p>
    <w:p w14:paraId="62F13F89">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我们使用Python爬虫下载个股年报，使用巨潮资讯网，网址为：</w:t>
      </w:r>
    </w:p>
    <w:p w14:paraId="69745035">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"http://www.cninfo.com.cn/new/commonUrl/pageOfSearch?url=disclosure/list/search&amp;lastPage=index"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http://www.cninfo.com.cn/new/commonUrl/pageOfSearch?url=disclosure/list/search&amp;lastPage=index</w:t>
      </w:r>
      <w:r>
        <w:rPr>
          <w:rFonts w:hint="eastAsia" w:ascii="Times New Roman" w:hAnsi="Times New Roman" w:cs="Times New Roman"/>
          <w:lang w:val="en-US" w:eastAsia="zh-CN"/>
        </w:rPr>
        <w:fldChar w:fldCharType="end"/>
      </w:r>
    </w:p>
    <w:p w14:paraId="6581CB30">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通过爬虫，我们可以获取个股年报的下载链接，再使用Python的request命令下载对应链接下的文件即可。最终，下载好的文件如图1所示：</w:t>
      </w:r>
    </w:p>
    <w:p w14:paraId="0A430DFD">
      <w:pPr>
        <w:pStyle w:val="8"/>
        <w:numPr>
          <w:ilvl w:val="0"/>
          <w:numId w:val="0"/>
        </w:numPr>
        <w:ind w:firstLine="420" w:firstLineChars="0"/>
        <w:jc w:val="center"/>
        <w:rPr>
          <w:rFonts w:hint="eastAsia" w:eastAsiaTheme="minor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年报示例</w:t>
      </w:r>
    </w:p>
    <w:p w14:paraId="065EEBA6">
      <w:pPr>
        <w:numPr>
          <w:ilvl w:val="0"/>
          <w:numId w:val="0"/>
        </w:numPr>
        <w:ind w:firstLine="420" w:firstLineChars="0"/>
        <w:jc w:val="center"/>
        <w:rPr>
          <w:rFonts w:hint="default" w:ascii="Times New Roman" w:hAnsi="Times New Roman" w:cs="Times New Roman"/>
          <w:lang w:val="en-US" w:eastAsia="zh-CN"/>
        </w:rPr>
      </w:pPr>
      <w:r>
        <w:drawing>
          <wp:inline distT="0" distB="0" distL="114300" distR="114300">
            <wp:extent cx="4867275" cy="2152650"/>
            <wp:effectExtent l="0" t="0" r="952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67275" cy="2152650"/>
                    </a:xfrm>
                    <a:prstGeom prst="rect">
                      <a:avLst/>
                    </a:prstGeom>
                    <a:noFill/>
                    <a:ln>
                      <a:noFill/>
                    </a:ln>
                  </pic:spPr>
                </pic:pic>
              </a:graphicData>
            </a:graphic>
          </wp:inline>
        </w:drawing>
      </w:r>
    </w:p>
    <w:p w14:paraId="13F44075">
      <w:pPr>
        <w:pStyle w:val="7"/>
        <w:numPr>
          <w:ilvl w:val="0"/>
          <w:numId w:val="1"/>
        </w:numPr>
        <w:bidi w:val="0"/>
        <w:rPr>
          <w:rFonts w:hint="eastAsia"/>
          <w:lang w:val="en-US" w:eastAsia="zh-CN"/>
        </w:rPr>
      </w:pPr>
      <w:r>
        <w:rPr>
          <w:rFonts w:hint="eastAsia"/>
          <w:lang w:val="en-US" w:eastAsia="zh-CN"/>
        </w:rPr>
        <w:t>未来收益数据</w:t>
      </w:r>
    </w:p>
    <w:p w14:paraId="6A483F6F">
      <w:pPr>
        <w:numPr>
          <w:ilvl w:val="0"/>
          <w:numId w:val="0"/>
        </w:numPr>
        <w:ind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如上所述，对于2020年的年报，我们下载2021年和2022年的收益率，对于2021年的年报，我们下载2022年和2023年的年报，最终结果如表2所示：</w:t>
      </w:r>
    </w:p>
    <w:p w14:paraId="1D93BC9D">
      <w:pPr>
        <w:pStyle w:val="8"/>
        <w:jc w:val="center"/>
        <w:rPr>
          <w:rFonts w:hint="eastAsia" w:eastAsia="宋体"/>
          <w:lang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 xml:space="preserve"> 未来收益率</w:t>
      </w:r>
    </w:p>
    <w:tbl>
      <w:tblPr>
        <w:tblStyle w:val="10"/>
        <w:tblW w:w="4998"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563"/>
        <w:gridCol w:w="1391"/>
        <w:gridCol w:w="1391"/>
        <w:gridCol w:w="1391"/>
        <w:gridCol w:w="1391"/>
        <w:gridCol w:w="1392"/>
      </w:tblGrid>
      <w:tr w14:paraId="728558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917" w:type="pct"/>
            <w:tcBorders>
              <w:top w:val="single" w:color="000000" w:sz="12" w:space="0"/>
              <w:left w:val="nil"/>
              <w:bottom w:val="single" w:color="000000" w:sz="4" w:space="0"/>
              <w:right w:val="nil"/>
              <w:tl2br w:val="nil"/>
            </w:tcBorders>
            <w:shd w:val="clear" w:color="auto" w:fill="FFFFFF"/>
            <w:noWrap/>
            <w:vAlign w:val="top"/>
          </w:tcPr>
          <w:p w14:paraId="42EC1DAE">
            <w:pPr>
              <w:keepNext w:val="0"/>
              <w:keepLines w:val="0"/>
              <w:widowControl/>
              <w:suppressLineNumbers w:val="0"/>
              <w:jc w:val="center"/>
              <w:textAlignment w:val="top"/>
              <w:rPr>
                <w:rFonts w:hint="eastAsia" w:ascii="宋体" w:hAnsi="宋体" w:eastAsia="宋体" w:cs="宋体"/>
                <w:b w:val="0"/>
                <w:bCs/>
                <w:i w:val="0"/>
                <w:iCs w:val="0"/>
                <w:color w:val="000000"/>
                <w:sz w:val="22"/>
                <w:szCs w:val="22"/>
                <w:u w:val="none"/>
              </w:rPr>
            </w:pPr>
            <w:r>
              <w:rPr>
                <w:rFonts w:hint="eastAsia" w:ascii="宋体" w:hAnsi="宋体" w:eastAsia="宋体" w:cs="宋体"/>
                <w:b w:val="0"/>
                <w:bCs/>
                <w:i w:val="0"/>
                <w:iCs w:val="0"/>
                <w:color w:val="000000"/>
                <w:kern w:val="0"/>
                <w:sz w:val="22"/>
                <w:szCs w:val="22"/>
                <w:u w:val="none"/>
                <w:lang w:val="en-US" w:eastAsia="zh-CN" w:bidi="ar"/>
              </w:rPr>
              <w:t>code_full</w:t>
            </w:r>
          </w:p>
        </w:tc>
        <w:tc>
          <w:tcPr>
            <w:tcW w:w="816" w:type="pct"/>
            <w:tcBorders>
              <w:top w:val="single" w:color="000000" w:sz="12" w:space="0"/>
              <w:left w:val="nil"/>
              <w:bottom w:val="single" w:color="000000" w:sz="4" w:space="0"/>
              <w:right w:val="nil"/>
            </w:tcBorders>
            <w:shd w:val="clear" w:color="auto" w:fill="FFFFFF"/>
            <w:noWrap/>
            <w:vAlign w:val="top"/>
          </w:tcPr>
          <w:p w14:paraId="1F2EF1F5">
            <w:pPr>
              <w:keepNext w:val="0"/>
              <w:keepLines w:val="0"/>
              <w:widowControl/>
              <w:suppressLineNumbers w:val="0"/>
              <w:jc w:val="center"/>
              <w:textAlignment w:val="top"/>
              <w:rPr>
                <w:rFonts w:hint="eastAsia" w:ascii="宋体" w:hAnsi="宋体" w:eastAsia="宋体" w:cs="宋体"/>
                <w:b w:val="0"/>
                <w:bCs/>
                <w:i w:val="0"/>
                <w:iCs w:val="0"/>
                <w:color w:val="000000"/>
                <w:sz w:val="22"/>
                <w:szCs w:val="22"/>
                <w:u w:val="none"/>
              </w:rPr>
            </w:pPr>
            <w:r>
              <w:rPr>
                <w:rFonts w:hint="eastAsia" w:ascii="宋体" w:hAnsi="宋体" w:eastAsia="宋体" w:cs="宋体"/>
                <w:b w:val="0"/>
                <w:bCs/>
                <w:i w:val="0"/>
                <w:iCs w:val="0"/>
                <w:color w:val="000000"/>
                <w:kern w:val="0"/>
                <w:sz w:val="22"/>
                <w:szCs w:val="22"/>
                <w:u w:val="none"/>
                <w:lang w:val="en-US" w:eastAsia="zh-CN" w:bidi="ar"/>
              </w:rPr>
              <w:t>name</w:t>
            </w:r>
          </w:p>
        </w:tc>
        <w:tc>
          <w:tcPr>
            <w:tcW w:w="816" w:type="pct"/>
            <w:tcBorders>
              <w:top w:val="single" w:color="000000" w:sz="12" w:space="0"/>
              <w:left w:val="nil"/>
              <w:bottom w:val="single" w:color="000000" w:sz="4" w:space="0"/>
              <w:right w:val="nil"/>
            </w:tcBorders>
            <w:shd w:val="clear" w:color="auto" w:fill="FFFFFF"/>
            <w:noWrap/>
            <w:vAlign w:val="top"/>
          </w:tcPr>
          <w:p w14:paraId="08E858B6">
            <w:pPr>
              <w:keepNext w:val="0"/>
              <w:keepLines w:val="0"/>
              <w:widowControl/>
              <w:suppressLineNumbers w:val="0"/>
              <w:jc w:val="center"/>
              <w:textAlignment w:val="top"/>
              <w:rPr>
                <w:rFonts w:hint="eastAsia" w:ascii="宋体" w:hAnsi="宋体" w:eastAsia="宋体" w:cs="宋体"/>
                <w:b w:val="0"/>
                <w:bCs/>
                <w:i w:val="0"/>
                <w:iCs w:val="0"/>
                <w:color w:val="000000"/>
                <w:sz w:val="22"/>
                <w:szCs w:val="22"/>
                <w:u w:val="none"/>
              </w:rPr>
            </w:pPr>
            <w:r>
              <w:rPr>
                <w:rFonts w:hint="eastAsia" w:ascii="宋体" w:hAnsi="宋体" w:eastAsia="宋体" w:cs="宋体"/>
                <w:b w:val="0"/>
                <w:bCs/>
                <w:i w:val="0"/>
                <w:iCs w:val="0"/>
                <w:color w:val="000000"/>
                <w:kern w:val="0"/>
                <w:sz w:val="22"/>
                <w:szCs w:val="22"/>
                <w:u w:val="none"/>
                <w:lang w:val="en-US" w:eastAsia="zh-CN" w:bidi="ar"/>
              </w:rPr>
              <w:t>code</w:t>
            </w:r>
          </w:p>
        </w:tc>
        <w:tc>
          <w:tcPr>
            <w:tcW w:w="816" w:type="pct"/>
            <w:tcBorders>
              <w:top w:val="single" w:color="000000" w:sz="12" w:space="0"/>
              <w:left w:val="nil"/>
              <w:bottom w:val="single" w:color="000000" w:sz="4" w:space="0"/>
              <w:right w:val="nil"/>
            </w:tcBorders>
            <w:shd w:val="clear" w:color="auto" w:fill="FFFFFF"/>
            <w:noWrap/>
            <w:vAlign w:val="top"/>
          </w:tcPr>
          <w:p w14:paraId="083615A2">
            <w:pPr>
              <w:keepNext w:val="0"/>
              <w:keepLines w:val="0"/>
              <w:widowControl/>
              <w:suppressLineNumbers w:val="0"/>
              <w:jc w:val="center"/>
              <w:textAlignment w:val="top"/>
              <w:rPr>
                <w:rFonts w:hint="eastAsia" w:ascii="宋体" w:hAnsi="宋体" w:eastAsia="宋体" w:cs="宋体"/>
                <w:b w:val="0"/>
                <w:bCs/>
                <w:i w:val="0"/>
                <w:iCs w:val="0"/>
                <w:color w:val="000000"/>
                <w:sz w:val="22"/>
                <w:szCs w:val="22"/>
                <w:u w:val="none"/>
              </w:rPr>
            </w:pPr>
            <w:r>
              <w:rPr>
                <w:rFonts w:hint="eastAsia" w:ascii="宋体" w:hAnsi="宋体" w:eastAsia="宋体" w:cs="宋体"/>
                <w:b w:val="0"/>
                <w:bCs/>
                <w:i w:val="0"/>
                <w:iCs w:val="0"/>
                <w:color w:val="000000"/>
                <w:kern w:val="0"/>
                <w:sz w:val="22"/>
                <w:szCs w:val="22"/>
                <w:u w:val="none"/>
                <w:lang w:val="en-US" w:eastAsia="zh-CN" w:bidi="ar"/>
              </w:rPr>
              <w:t>2021</w:t>
            </w:r>
          </w:p>
        </w:tc>
        <w:tc>
          <w:tcPr>
            <w:tcW w:w="816" w:type="pct"/>
            <w:tcBorders>
              <w:top w:val="single" w:color="000000" w:sz="12" w:space="0"/>
              <w:left w:val="nil"/>
              <w:bottom w:val="single" w:color="000000" w:sz="4" w:space="0"/>
              <w:right w:val="nil"/>
            </w:tcBorders>
            <w:shd w:val="clear" w:color="auto" w:fill="FFFFFF"/>
            <w:noWrap/>
            <w:vAlign w:val="top"/>
          </w:tcPr>
          <w:p w14:paraId="5730D598">
            <w:pPr>
              <w:keepNext w:val="0"/>
              <w:keepLines w:val="0"/>
              <w:widowControl/>
              <w:suppressLineNumbers w:val="0"/>
              <w:jc w:val="center"/>
              <w:textAlignment w:val="top"/>
              <w:rPr>
                <w:rFonts w:hint="eastAsia" w:ascii="宋体" w:hAnsi="宋体" w:eastAsia="宋体" w:cs="宋体"/>
                <w:b w:val="0"/>
                <w:bCs/>
                <w:i w:val="0"/>
                <w:iCs w:val="0"/>
                <w:color w:val="000000"/>
                <w:sz w:val="22"/>
                <w:szCs w:val="22"/>
                <w:u w:val="none"/>
              </w:rPr>
            </w:pPr>
            <w:r>
              <w:rPr>
                <w:rFonts w:hint="eastAsia" w:ascii="宋体" w:hAnsi="宋体" w:eastAsia="宋体" w:cs="宋体"/>
                <w:b w:val="0"/>
                <w:bCs/>
                <w:i w:val="0"/>
                <w:iCs w:val="0"/>
                <w:color w:val="000000"/>
                <w:kern w:val="0"/>
                <w:sz w:val="22"/>
                <w:szCs w:val="22"/>
                <w:u w:val="none"/>
                <w:lang w:val="en-US" w:eastAsia="zh-CN" w:bidi="ar"/>
              </w:rPr>
              <w:t>2022</w:t>
            </w:r>
          </w:p>
        </w:tc>
        <w:tc>
          <w:tcPr>
            <w:tcW w:w="816" w:type="pct"/>
            <w:tcBorders>
              <w:top w:val="single" w:color="000000" w:sz="12" w:space="0"/>
              <w:left w:val="nil"/>
              <w:bottom w:val="single" w:color="000000" w:sz="4" w:space="0"/>
              <w:right w:val="nil"/>
            </w:tcBorders>
            <w:shd w:val="clear" w:color="auto" w:fill="FFFFFF"/>
            <w:noWrap/>
            <w:vAlign w:val="top"/>
          </w:tcPr>
          <w:p w14:paraId="3001F10C">
            <w:pPr>
              <w:keepNext w:val="0"/>
              <w:keepLines w:val="0"/>
              <w:widowControl/>
              <w:suppressLineNumbers w:val="0"/>
              <w:jc w:val="center"/>
              <w:textAlignment w:val="top"/>
              <w:rPr>
                <w:rFonts w:hint="eastAsia" w:ascii="宋体" w:hAnsi="宋体" w:eastAsia="宋体" w:cs="宋体"/>
                <w:b w:val="0"/>
                <w:bCs/>
                <w:i w:val="0"/>
                <w:iCs w:val="0"/>
                <w:color w:val="000000"/>
                <w:sz w:val="22"/>
                <w:szCs w:val="22"/>
                <w:u w:val="none"/>
              </w:rPr>
            </w:pPr>
            <w:r>
              <w:rPr>
                <w:rFonts w:hint="eastAsia" w:ascii="宋体" w:hAnsi="宋体" w:eastAsia="宋体" w:cs="宋体"/>
                <w:b w:val="0"/>
                <w:bCs/>
                <w:i w:val="0"/>
                <w:iCs w:val="0"/>
                <w:color w:val="000000"/>
                <w:kern w:val="0"/>
                <w:sz w:val="22"/>
                <w:szCs w:val="22"/>
                <w:u w:val="none"/>
                <w:lang w:val="en-US" w:eastAsia="zh-CN" w:bidi="ar"/>
              </w:rPr>
              <w:t>2023</w:t>
            </w:r>
          </w:p>
        </w:tc>
      </w:tr>
      <w:tr w14:paraId="5B2AD5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917" w:type="pct"/>
            <w:tcBorders>
              <w:top w:val="single" w:color="000000" w:sz="4" w:space="0"/>
              <w:left w:val="nil"/>
              <w:bottom w:val="nil"/>
              <w:right w:val="nil"/>
            </w:tcBorders>
            <w:shd w:val="clear" w:color="auto" w:fill="FFFFFF"/>
            <w:noWrap/>
            <w:vAlign w:val="bottom"/>
          </w:tcPr>
          <w:p w14:paraId="0A6D475A">
            <w:pPr>
              <w:keepNext w:val="0"/>
              <w:keepLines w:val="0"/>
              <w:widowControl/>
              <w:suppressLineNumbers w:val="0"/>
              <w:jc w:val="center"/>
              <w:textAlignment w:val="bottom"/>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000001.SZ</w:t>
            </w:r>
          </w:p>
        </w:tc>
        <w:tc>
          <w:tcPr>
            <w:tcW w:w="816" w:type="pct"/>
            <w:tcBorders>
              <w:top w:val="single" w:color="000000" w:sz="4" w:space="0"/>
              <w:left w:val="nil"/>
              <w:bottom w:val="nil"/>
              <w:right w:val="nil"/>
            </w:tcBorders>
            <w:shd w:val="clear" w:color="auto" w:fill="FFFFFF"/>
            <w:noWrap/>
            <w:vAlign w:val="bottom"/>
          </w:tcPr>
          <w:p w14:paraId="7A54961A">
            <w:pPr>
              <w:keepNext w:val="0"/>
              <w:keepLines w:val="0"/>
              <w:widowControl/>
              <w:suppressLineNumbers w:val="0"/>
              <w:jc w:val="center"/>
              <w:textAlignment w:val="bottom"/>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平安银行</w:t>
            </w:r>
          </w:p>
        </w:tc>
        <w:tc>
          <w:tcPr>
            <w:tcW w:w="816" w:type="pct"/>
            <w:tcBorders>
              <w:top w:val="single" w:color="000000" w:sz="4" w:space="0"/>
              <w:left w:val="nil"/>
              <w:bottom w:val="nil"/>
              <w:right w:val="nil"/>
            </w:tcBorders>
            <w:shd w:val="clear" w:color="auto" w:fill="FFFFFF"/>
            <w:noWrap/>
            <w:vAlign w:val="bottom"/>
          </w:tcPr>
          <w:p w14:paraId="0BABF109">
            <w:pPr>
              <w:keepNext w:val="0"/>
              <w:keepLines w:val="0"/>
              <w:widowControl/>
              <w:suppressLineNumbers w:val="0"/>
              <w:jc w:val="center"/>
              <w:textAlignment w:val="bottom"/>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000001</w:t>
            </w:r>
          </w:p>
        </w:tc>
        <w:tc>
          <w:tcPr>
            <w:tcW w:w="816" w:type="pct"/>
            <w:tcBorders>
              <w:top w:val="single" w:color="000000" w:sz="4" w:space="0"/>
              <w:left w:val="nil"/>
              <w:bottom w:val="nil"/>
              <w:right w:val="nil"/>
            </w:tcBorders>
            <w:shd w:val="clear" w:color="auto" w:fill="FFFFFF"/>
            <w:noWrap/>
            <w:vAlign w:val="bottom"/>
          </w:tcPr>
          <w:p w14:paraId="7DEB8595">
            <w:pPr>
              <w:keepNext w:val="0"/>
              <w:keepLines w:val="0"/>
              <w:widowControl/>
              <w:suppressLineNumbers w:val="0"/>
              <w:jc w:val="center"/>
              <w:textAlignment w:val="bottom"/>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-0.1327</w:t>
            </w:r>
          </w:p>
        </w:tc>
        <w:tc>
          <w:tcPr>
            <w:tcW w:w="816" w:type="pct"/>
            <w:tcBorders>
              <w:top w:val="single" w:color="000000" w:sz="4" w:space="0"/>
              <w:left w:val="nil"/>
              <w:bottom w:val="nil"/>
              <w:right w:val="nil"/>
            </w:tcBorders>
            <w:shd w:val="clear" w:color="auto" w:fill="FFFFFF"/>
            <w:noWrap/>
            <w:vAlign w:val="bottom"/>
          </w:tcPr>
          <w:p w14:paraId="4519C407">
            <w:pPr>
              <w:keepNext w:val="0"/>
              <w:keepLines w:val="0"/>
              <w:widowControl/>
              <w:suppressLineNumbers w:val="0"/>
              <w:jc w:val="center"/>
              <w:textAlignment w:val="bottom"/>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-0.1763</w:t>
            </w:r>
          </w:p>
        </w:tc>
        <w:tc>
          <w:tcPr>
            <w:tcW w:w="816" w:type="pct"/>
            <w:tcBorders>
              <w:top w:val="single" w:color="000000" w:sz="4" w:space="0"/>
              <w:left w:val="nil"/>
              <w:bottom w:val="nil"/>
              <w:right w:val="nil"/>
            </w:tcBorders>
            <w:shd w:val="clear" w:color="auto" w:fill="FFFFFF"/>
            <w:noWrap/>
            <w:vAlign w:val="bottom"/>
          </w:tcPr>
          <w:p w14:paraId="2637C4B3">
            <w:pPr>
              <w:keepNext w:val="0"/>
              <w:keepLines w:val="0"/>
              <w:widowControl/>
              <w:suppressLineNumbers w:val="0"/>
              <w:jc w:val="center"/>
              <w:textAlignment w:val="bottom"/>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-0.2416</w:t>
            </w:r>
          </w:p>
        </w:tc>
      </w:tr>
      <w:tr w14:paraId="085ACE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917" w:type="pct"/>
            <w:tcBorders>
              <w:top w:val="nil"/>
              <w:left w:val="nil"/>
              <w:bottom w:val="nil"/>
              <w:right w:val="nil"/>
            </w:tcBorders>
            <w:shd w:val="clear" w:color="auto" w:fill="FFFFFF"/>
            <w:noWrap/>
            <w:vAlign w:val="bottom"/>
          </w:tcPr>
          <w:p w14:paraId="60980D53">
            <w:pPr>
              <w:keepNext w:val="0"/>
              <w:keepLines w:val="0"/>
              <w:widowControl/>
              <w:suppressLineNumbers w:val="0"/>
              <w:jc w:val="center"/>
              <w:textAlignment w:val="bottom"/>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000002.SZ</w:t>
            </w:r>
          </w:p>
        </w:tc>
        <w:tc>
          <w:tcPr>
            <w:tcW w:w="816" w:type="pct"/>
            <w:tcBorders>
              <w:top w:val="nil"/>
              <w:left w:val="nil"/>
              <w:bottom w:val="nil"/>
              <w:right w:val="nil"/>
            </w:tcBorders>
            <w:shd w:val="clear" w:color="auto" w:fill="FFFFFF"/>
            <w:noWrap/>
            <w:vAlign w:val="bottom"/>
          </w:tcPr>
          <w:p w14:paraId="332AD8C5">
            <w:pPr>
              <w:keepNext w:val="0"/>
              <w:keepLines w:val="0"/>
              <w:widowControl/>
              <w:suppressLineNumbers w:val="0"/>
              <w:jc w:val="center"/>
              <w:textAlignment w:val="bottom"/>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万科A</w:t>
            </w:r>
          </w:p>
        </w:tc>
        <w:tc>
          <w:tcPr>
            <w:tcW w:w="816" w:type="pct"/>
            <w:tcBorders>
              <w:top w:val="nil"/>
              <w:left w:val="nil"/>
              <w:bottom w:val="nil"/>
              <w:right w:val="nil"/>
            </w:tcBorders>
            <w:shd w:val="clear" w:color="auto" w:fill="FFFFFF"/>
            <w:noWrap/>
            <w:vAlign w:val="bottom"/>
          </w:tcPr>
          <w:p w14:paraId="2059276E">
            <w:pPr>
              <w:keepNext w:val="0"/>
              <w:keepLines w:val="0"/>
              <w:widowControl/>
              <w:suppressLineNumbers w:val="0"/>
              <w:jc w:val="center"/>
              <w:textAlignment w:val="bottom"/>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000002</w:t>
            </w:r>
          </w:p>
        </w:tc>
        <w:tc>
          <w:tcPr>
            <w:tcW w:w="816" w:type="pct"/>
            <w:tcBorders>
              <w:top w:val="nil"/>
              <w:left w:val="nil"/>
              <w:bottom w:val="nil"/>
              <w:right w:val="nil"/>
            </w:tcBorders>
            <w:shd w:val="clear" w:color="auto" w:fill="FFFFFF"/>
            <w:noWrap/>
            <w:vAlign w:val="bottom"/>
          </w:tcPr>
          <w:p w14:paraId="55794F38">
            <w:pPr>
              <w:keepNext w:val="0"/>
              <w:keepLines w:val="0"/>
              <w:widowControl/>
              <w:suppressLineNumbers w:val="0"/>
              <w:jc w:val="center"/>
              <w:textAlignment w:val="bottom"/>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-0.2213</w:t>
            </w:r>
          </w:p>
        </w:tc>
        <w:tc>
          <w:tcPr>
            <w:tcW w:w="816" w:type="pct"/>
            <w:tcBorders>
              <w:top w:val="nil"/>
              <w:left w:val="nil"/>
              <w:bottom w:val="nil"/>
              <w:right w:val="nil"/>
            </w:tcBorders>
            <w:shd w:val="clear" w:color="auto" w:fill="FFFFFF"/>
            <w:noWrap/>
            <w:vAlign w:val="bottom"/>
          </w:tcPr>
          <w:p w14:paraId="55D2FAA3">
            <w:pPr>
              <w:keepNext w:val="0"/>
              <w:keepLines w:val="0"/>
              <w:widowControl/>
              <w:suppressLineNumbers w:val="0"/>
              <w:jc w:val="center"/>
              <w:textAlignment w:val="bottom"/>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-0.0216</w:t>
            </w:r>
          </w:p>
        </w:tc>
        <w:tc>
          <w:tcPr>
            <w:tcW w:w="816" w:type="pct"/>
            <w:tcBorders>
              <w:top w:val="nil"/>
              <w:left w:val="nil"/>
              <w:bottom w:val="nil"/>
              <w:right w:val="nil"/>
            </w:tcBorders>
            <w:shd w:val="clear" w:color="auto" w:fill="FFFFFF"/>
            <w:noWrap/>
            <w:vAlign w:val="bottom"/>
          </w:tcPr>
          <w:p w14:paraId="1B2FBBFA">
            <w:pPr>
              <w:keepNext w:val="0"/>
              <w:keepLines w:val="0"/>
              <w:widowControl/>
              <w:suppressLineNumbers w:val="0"/>
              <w:jc w:val="center"/>
              <w:textAlignment w:val="bottom"/>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-0.2670</w:t>
            </w:r>
          </w:p>
        </w:tc>
      </w:tr>
      <w:tr w14:paraId="6081E0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917" w:type="pct"/>
            <w:tcBorders>
              <w:top w:val="nil"/>
              <w:left w:val="nil"/>
              <w:bottom w:val="nil"/>
              <w:right w:val="nil"/>
            </w:tcBorders>
            <w:shd w:val="clear" w:color="auto" w:fill="FFFFFF"/>
            <w:noWrap/>
            <w:vAlign w:val="bottom"/>
          </w:tcPr>
          <w:p w14:paraId="73749CCA">
            <w:pPr>
              <w:keepNext w:val="0"/>
              <w:keepLines w:val="0"/>
              <w:widowControl/>
              <w:suppressLineNumbers w:val="0"/>
              <w:jc w:val="center"/>
              <w:textAlignment w:val="bottom"/>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000063.SZ</w:t>
            </w:r>
          </w:p>
        </w:tc>
        <w:tc>
          <w:tcPr>
            <w:tcW w:w="816" w:type="pct"/>
            <w:tcBorders>
              <w:top w:val="nil"/>
              <w:left w:val="nil"/>
              <w:bottom w:val="nil"/>
              <w:right w:val="nil"/>
            </w:tcBorders>
            <w:shd w:val="clear" w:color="auto" w:fill="FFFFFF"/>
            <w:noWrap/>
            <w:vAlign w:val="bottom"/>
          </w:tcPr>
          <w:p w14:paraId="00C6BE54">
            <w:pPr>
              <w:keepNext w:val="0"/>
              <w:keepLines w:val="0"/>
              <w:widowControl/>
              <w:suppressLineNumbers w:val="0"/>
              <w:jc w:val="center"/>
              <w:textAlignment w:val="bottom"/>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中兴通讯</w:t>
            </w:r>
          </w:p>
        </w:tc>
        <w:tc>
          <w:tcPr>
            <w:tcW w:w="816" w:type="pct"/>
            <w:tcBorders>
              <w:top w:val="nil"/>
              <w:left w:val="nil"/>
              <w:bottom w:val="nil"/>
              <w:right w:val="nil"/>
            </w:tcBorders>
            <w:shd w:val="clear" w:color="auto" w:fill="FFFFFF"/>
            <w:noWrap/>
            <w:vAlign w:val="bottom"/>
          </w:tcPr>
          <w:p w14:paraId="1A1B0C96">
            <w:pPr>
              <w:keepNext w:val="0"/>
              <w:keepLines w:val="0"/>
              <w:widowControl/>
              <w:suppressLineNumbers w:val="0"/>
              <w:jc w:val="center"/>
              <w:textAlignment w:val="bottom"/>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000063</w:t>
            </w:r>
          </w:p>
        </w:tc>
        <w:tc>
          <w:tcPr>
            <w:tcW w:w="816" w:type="pct"/>
            <w:tcBorders>
              <w:top w:val="nil"/>
              <w:left w:val="nil"/>
              <w:bottom w:val="nil"/>
              <w:right w:val="nil"/>
            </w:tcBorders>
            <w:shd w:val="clear" w:color="auto" w:fill="FFFFFF"/>
            <w:noWrap/>
            <w:vAlign w:val="bottom"/>
          </w:tcPr>
          <w:p w14:paraId="79351587">
            <w:pPr>
              <w:keepNext w:val="0"/>
              <w:keepLines w:val="0"/>
              <w:widowControl/>
              <w:suppressLineNumbers w:val="0"/>
              <w:jc w:val="center"/>
              <w:textAlignment w:val="bottom"/>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0.0014</w:t>
            </w:r>
          </w:p>
        </w:tc>
        <w:tc>
          <w:tcPr>
            <w:tcW w:w="816" w:type="pct"/>
            <w:tcBorders>
              <w:top w:val="nil"/>
              <w:left w:val="nil"/>
              <w:bottom w:val="nil"/>
              <w:right w:val="nil"/>
            </w:tcBorders>
            <w:shd w:val="clear" w:color="auto" w:fill="FFFFFF"/>
            <w:noWrap/>
            <w:vAlign w:val="bottom"/>
          </w:tcPr>
          <w:p w14:paraId="6D8CF95D">
            <w:pPr>
              <w:keepNext w:val="0"/>
              <w:keepLines w:val="0"/>
              <w:widowControl/>
              <w:suppressLineNumbers w:val="0"/>
              <w:jc w:val="center"/>
              <w:textAlignment w:val="bottom"/>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-0.2102</w:t>
            </w:r>
          </w:p>
        </w:tc>
        <w:tc>
          <w:tcPr>
            <w:tcW w:w="816" w:type="pct"/>
            <w:tcBorders>
              <w:top w:val="nil"/>
              <w:left w:val="nil"/>
              <w:bottom w:val="nil"/>
              <w:right w:val="nil"/>
            </w:tcBorders>
            <w:shd w:val="clear" w:color="auto" w:fill="FFFFFF"/>
            <w:noWrap/>
            <w:vAlign w:val="bottom"/>
          </w:tcPr>
          <w:p w14:paraId="7854DCC3">
            <w:pPr>
              <w:keepNext w:val="0"/>
              <w:keepLines w:val="0"/>
              <w:widowControl/>
              <w:suppressLineNumbers w:val="0"/>
              <w:jc w:val="center"/>
              <w:textAlignment w:val="bottom"/>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0.0369</w:t>
            </w:r>
          </w:p>
        </w:tc>
      </w:tr>
      <w:tr w14:paraId="25425C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917" w:type="pct"/>
            <w:tcBorders>
              <w:top w:val="nil"/>
              <w:left w:val="nil"/>
              <w:bottom w:val="nil"/>
              <w:right w:val="nil"/>
            </w:tcBorders>
            <w:shd w:val="clear" w:color="auto" w:fill="FFFFFF"/>
            <w:noWrap/>
            <w:vAlign w:val="bottom"/>
          </w:tcPr>
          <w:p w14:paraId="23D08427">
            <w:pPr>
              <w:keepNext w:val="0"/>
              <w:keepLines w:val="0"/>
              <w:widowControl/>
              <w:suppressLineNumbers w:val="0"/>
              <w:jc w:val="center"/>
              <w:textAlignment w:val="bottom"/>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000100.SZ</w:t>
            </w:r>
          </w:p>
        </w:tc>
        <w:tc>
          <w:tcPr>
            <w:tcW w:w="816" w:type="pct"/>
            <w:tcBorders>
              <w:top w:val="nil"/>
              <w:left w:val="nil"/>
              <w:bottom w:val="nil"/>
              <w:right w:val="nil"/>
            </w:tcBorders>
            <w:shd w:val="clear" w:color="auto" w:fill="FFFFFF"/>
            <w:noWrap/>
            <w:vAlign w:val="bottom"/>
          </w:tcPr>
          <w:p w14:paraId="639532A0">
            <w:pPr>
              <w:keepNext w:val="0"/>
              <w:keepLines w:val="0"/>
              <w:widowControl/>
              <w:suppressLineNumbers w:val="0"/>
              <w:jc w:val="center"/>
              <w:textAlignment w:val="bottom"/>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TCL科技</w:t>
            </w:r>
          </w:p>
        </w:tc>
        <w:tc>
          <w:tcPr>
            <w:tcW w:w="816" w:type="pct"/>
            <w:tcBorders>
              <w:top w:val="nil"/>
              <w:left w:val="nil"/>
              <w:bottom w:val="nil"/>
              <w:right w:val="nil"/>
            </w:tcBorders>
            <w:shd w:val="clear" w:color="auto" w:fill="FFFFFF"/>
            <w:noWrap/>
            <w:vAlign w:val="bottom"/>
          </w:tcPr>
          <w:p w14:paraId="422C32C7">
            <w:pPr>
              <w:keepNext w:val="0"/>
              <w:keepLines w:val="0"/>
              <w:widowControl/>
              <w:suppressLineNumbers w:val="0"/>
              <w:jc w:val="center"/>
              <w:textAlignment w:val="bottom"/>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000100</w:t>
            </w:r>
          </w:p>
        </w:tc>
        <w:tc>
          <w:tcPr>
            <w:tcW w:w="816" w:type="pct"/>
            <w:tcBorders>
              <w:top w:val="nil"/>
              <w:left w:val="nil"/>
              <w:bottom w:val="nil"/>
              <w:right w:val="nil"/>
            </w:tcBorders>
            <w:shd w:val="clear" w:color="auto" w:fill="FFFFFF"/>
            <w:noWrap/>
            <w:vAlign w:val="bottom"/>
          </w:tcPr>
          <w:p w14:paraId="4A23C02E">
            <w:pPr>
              <w:keepNext w:val="0"/>
              <w:keepLines w:val="0"/>
              <w:widowControl/>
              <w:suppressLineNumbers w:val="0"/>
              <w:jc w:val="center"/>
              <w:textAlignment w:val="bottom"/>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-0.1009</w:t>
            </w:r>
          </w:p>
        </w:tc>
        <w:tc>
          <w:tcPr>
            <w:tcW w:w="816" w:type="pct"/>
            <w:tcBorders>
              <w:top w:val="nil"/>
              <w:left w:val="nil"/>
              <w:bottom w:val="nil"/>
              <w:right w:val="nil"/>
            </w:tcBorders>
            <w:shd w:val="clear" w:color="auto" w:fill="FFFFFF"/>
            <w:noWrap/>
            <w:vAlign w:val="bottom"/>
          </w:tcPr>
          <w:p w14:paraId="3EE514B7">
            <w:pPr>
              <w:keepNext w:val="0"/>
              <w:keepLines w:val="0"/>
              <w:widowControl/>
              <w:suppressLineNumbers w:val="0"/>
              <w:jc w:val="center"/>
              <w:textAlignment w:val="bottom"/>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-0.3265</w:t>
            </w:r>
          </w:p>
        </w:tc>
        <w:tc>
          <w:tcPr>
            <w:tcW w:w="816" w:type="pct"/>
            <w:tcBorders>
              <w:top w:val="nil"/>
              <w:left w:val="nil"/>
              <w:bottom w:val="nil"/>
              <w:right w:val="nil"/>
            </w:tcBorders>
            <w:shd w:val="clear" w:color="auto" w:fill="FFFFFF"/>
            <w:noWrap/>
            <w:vAlign w:val="bottom"/>
          </w:tcPr>
          <w:p w14:paraId="685740BD">
            <w:pPr>
              <w:keepNext w:val="0"/>
              <w:keepLines w:val="0"/>
              <w:widowControl/>
              <w:suppressLineNumbers w:val="0"/>
              <w:jc w:val="center"/>
              <w:textAlignment w:val="bottom"/>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0.2130</w:t>
            </w:r>
          </w:p>
        </w:tc>
      </w:tr>
      <w:tr w14:paraId="46792C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917" w:type="pct"/>
            <w:tcBorders>
              <w:top w:val="nil"/>
              <w:left w:val="nil"/>
              <w:bottom w:val="single" w:color="000000" w:sz="12" w:space="0"/>
              <w:right w:val="nil"/>
            </w:tcBorders>
            <w:shd w:val="clear" w:color="auto" w:fill="FFFFFF"/>
            <w:noWrap/>
            <w:vAlign w:val="bottom"/>
          </w:tcPr>
          <w:p w14:paraId="0DA3C868">
            <w:pPr>
              <w:keepNext w:val="0"/>
              <w:keepLines w:val="0"/>
              <w:widowControl/>
              <w:suppressLineNumbers w:val="0"/>
              <w:jc w:val="center"/>
              <w:textAlignment w:val="bottom"/>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000166.SZ</w:t>
            </w:r>
          </w:p>
        </w:tc>
        <w:tc>
          <w:tcPr>
            <w:tcW w:w="816" w:type="pct"/>
            <w:tcBorders>
              <w:top w:val="nil"/>
              <w:left w:val="nil"/>
              <w:bottom w:val="single" w:color="000000" w:sz="12" w:space="0"/>
              <w:right w:val="nil"/>
            </w:tcBorders>
            <w:shd w:val="clear" w:color="auto" w:fill="FFFFFF"/>
            <w:noWrap/>
            <w:vAlign w:val="bottom"/>
          </w:tcPr>
          <w:p w14:paraId="2EE9293A">
            <w:pPr>
              <w:keepNext w:val="0"/>
              <w:keepLines w:val="0"/>
              <w:widowControl/>
              <w:suppressLineNumbers w:val="0"/>
              <w:jc w:val="center"/>
              <w:textAlignment w:val="bottom"/>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申万宏源</w:t>
            </w:r>
          </w:p>
        </w:tc>
        <w:tc>
          <w:tcPr>
            <w:tcW w:w="816" w:type="pct"/>
            <w:tcBorders>
              <w:top w:val="nil"/>
              <w:left w:val="nil"/>
              <w:bottom w:val="single" w:color="000000" w:sz="12" w:space="0"/>
              <w:right w:val="nil"/>
            </w:tcBorders>
            <w:shd w:val="clear" w:color="auto" w:fill="FFFFFF"/>
            <w:noWrap/>
            <w:vAlign w:val="bottom"/>
          </w:tcPr>
          <w:p w14:paraId="41A99FA4">
            <w:pPr>
              <w:keepNext w:val="0"/>
              <w:keepLines w:val="0"/>
              <w:widowControl/>
              <w:suppressLineNumbers w:val="0"/>
              <w:jc w:val="center"/>
              <w:textAlignment w:val="bottom"/>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000166</w:t>
            </w:r>
          </w:p>
        </w:tc>
        <w:tc>
          <w:tcPr>
            <w:tcW w:w="816" w:type="pct"/>
            <w:tcBorders>
              <w:top w:val="nil"/>
              <w:left w:val="nil"/>
              <w:bottom w:val="single" w:color="000000" w:sz="12" w:space="0"/>
              <w:right w:val="nil"/>
            </w:tcBorders>
            <w:shd w:val="clear" w:color="auto" w:fill="FFFFFF"/>
            <w:noWrap/>
            <w:vAlign w:val="bottom"/>
          </w:tcPr>
          <w:p w14:paraId="0731033C">
            <w:pPr>
              <w:keepNext w:val="0"/>
              <w:keepLines w:val="0"/>
              <w:widowControl/>
              <w:suppressLineNumbers w:val="0"/>
              <w:jc w:val="center"/>
              <w:textAlignment w:val="bottom"/>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-0.0103</w:t>
            </w:r>
          </w:p>
        </w:tc>
        <w:tc>
          <w:tcPr>
            <w:tcW w:w="816" w:type="pct"/>
            <w:tcBorders>
              <w:top w:val="nil"/>
              <w:left w:val="nil"/>
              <w:bottom w:val="single" w:color="000000" w:sz="12" w:space="0"/>
              <w:right w:val="nil"/>
            </w:tcBorders>
            <w:shd w:val="clear" w:color="auto" w:fill="FFFFFF"/>
            <w:noWrap/>
            <w:vAlign w:val="bottom"/>
          </w:tcPr>
          <w:p w14:paraId="2A1072D0">
            <w:pPr>
              <w:keepNext w:val="0"/>
              <w:keepLines w:val="0"/>
              <w:widowControl/>
              <w:suppressLineNumbers w:val="0"/>
              <w:jc w:val="center"/>
              <w:textAlignment w:val="bottom"/>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-0.1860</w:t>
            </w:r>
          </w:p>
        </w:tc>
        <w:tc>
          <w:tcPr>
            <w:tcW w:w="816" w:type="pct"/>
            <w:tcBorders>
              <w:top w:val="nil"/>
              <w:left w:val="nil"/>
              <w:bottom w:val="single" w:color="000000" w:sz="12" w:space="0"/>
              <w:right w:val="nil"/>
            </w:tcBorders>
            <w:shd w:val="clear" w:color="auto" w:fill="FFFFFF"/>
            <w:noWrap/>
            <w:vAlign w:val="bottom"/>
          </w:tcPr>
          <w:p w14:paraId="38BDB685">
            <w:pPr>
              <w:keepNext w:val="0"/>
              <w:keepLines w:val="0"/>
              <w:widowControl/>
              <w:suppressLineNumbers w:val="0"/>
              <w:jc w:val="center"/>
              <w:textAlignment w:val="bottom"/>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0.1069</w:t>
            </w:r>
          </w:p>
        </w:tc>
      </w:tr>
    </w:tbl>
    <w:p w14:paraId="7AED228A">
      <w:pPr>
        <w:pStyle w:val="7"/>
        <w:numPr>
          <w:ilvl w:val="0"/>
          <w:numId w:val="0"/>
        </w:numPr>
        <w:bidi w:val="0"/>
        <w:rPr>
          <w:rFonts w:hint="eastAsia"/>
          <w:b/>
          <w:lang w:val="en-US" w:eastAsia="zh-CN"/>
        </w:rPr>
      </w:pPr>
      <w:r>
        <w:rPr>
          <w:rFonts w:hint="eastAsia"/>
          <w:b/>
          <w:lang w:val="en-US" w:eastAsia="zh-CN"/>
        </w:rPr>
        <w:t>（五）数</w:t>
      </w:r>
      <w:bookmarkStart w:id="9" w:name="OLE_LINK35"/>
      <w:r>
        <w:rPr>
          <w:rFonts w:hint="eastAsia"/>
          <w:b/>
          <w:lang w:val="en-US" w:eastAsia="zh-CN"/>
        </w:rPr>
        <w:t>据检</w:t>
      </w:r>
      <w:bookmarkEnd w:id="9"/>
      <w:r>
        <w:rPr>
          <w:rFonts w:hint="eastAsia"/>
          <w:b/>
          <w:lang w:val="en-US" w:eastAsia="zh-CN"/>
        </w:rPr>
        <w:t>验</w:t>
      </w:r>
    </w:p>
    <w:p w14:paraId="217BBD8E">
      <w:pPr>
        <w:numPr>
          <w:ilvl w:val="0"/>
          <w:numId w:val="0"/>
        </w:numPr>
        <w:ind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对于每一只股票，检验是否正确下载其年报文件。</w:t>
      </w:r>
    </w:p>
    <w:p w14:paraId="7EF8C9EF">
      <w:pPr>
        <w:numPr>
          <w:ilvl w:val="0"/>
          <w:numId w:val="0"/>
        </w:numPr>
        <w:ind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如上所述，每一只股票应该对应2份年报，共600份，由于股票列表是2024年8月3日的数据，部分股票在2020、2021年可能还未上市，因此我们下载的文件数量为555份。</w:t>
      </w:r>
    </w:p>
    <w:p w14:paraId="02DD79A3">
      <w:pPr>
        <w:numPr>
          <w:ilvl w:val="0"/>
          <w:numId w:val="0"/>
        </w:numPr>
        <w:ind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检查各文件名确认其为公司年报，发现如下几个异常情况：</w:t>
      </w:r>
    </w:p>
    <w:p w14:paraId="144156A3">
      <w:pPr>
        <w:numPr>
          <w:ilvl w:val="0"/>
          <w:numId w:val="2"/>
        </w:numPr>
        <w:ind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部分报告名为《×××持续督导年度报告》混入其中，故删除；</w:t>
      </w:r>
    </w:p>
    <w:p w14:paraId="4CC02EFC">
      <w:pPr>
        <w:numPr>
          <w:ilvl w:val="0"/>
          <w:numId w:val="2"/>
        </w:numPr>
        <w:ind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部分公司的年报文件名以“年度报告全文”结尾，因此在之前爬虫的逻辑中并未考虑，由于年报数量已超过500份，故此部分年报未补充下载。</w:t>
      </w:r>
    </w:p>
    <w:p w14:paraId="7972BD91">
      <w:pPr>
        <w:numPr>
          <w:ilvl w:val="0"/>
          <w:numId w:val="2"/>
        </w:numPr>
        <w:ind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部分公司年报包括境内（大陆）和境外（港股）的公示，我们认为这些报告均具有一定价值，因此保留了境外公示年报。</w:t>
      </w:r>
    </w:p>
    <w:p w14:paraId="36136DBB">
      <w:pPr>
        <w:numPr>
          <w:ilvl w:val="0"/>
          <w:numId w:val="0"/>
        </w:numPr>
        <w:ind w:left="420" w:leftChars="0"/>
        <w:rPr>
          <w:rFonts w:hint="eastAsia" w:ascii="Times New Roman" w:hAnsi="Times New Roman" w:cs="Times New Roman"/>
          <w:lang w:val="en-US" w:eastAsia="zh-CN"/>
        </w:rPr>
      </w:pPr>
      <w:r>
        <w:rPr>
          <w:rFonts w:hint="eastAsia" w:ascii="Times New Roman" w:hAnsi="Times New Roman" w:cs="Times New Roman"/>
          <w:lang w:val="en-US" w:eastAsia="zh-CN"/>
        </w:rPr>
        <w:t>最终，我们一共有551份有效年报。</w:t>
      </w:r>
    </w:p>
    <w:p w14:paraId="793F52A6">
      <w:pPr>
        <w:pStyle w:val="7"/>
        <w:numPr>
          <w:ilvl w:val="0"/>
          <w:numId w:val="0"/>
        </w:numPr>
        <w:bidi w:val="0"/>
        <w:rPr>
          <w:rFonts w:hint="eastAsia"/>
          <w:b/>
          <w:lang w:val="en-US" w:eastAsia="zh-CN"/>
        </w:rPr>
      </w:pPr>
      <w:bookmarkStart w:id="10" w:name="OLE_LINK41"/>
      <w:r>
        <w:rPr>
          <w:rFonts w:hint="eastAsia"/>
          <w:b/>
          <w:lang w:val="en-US" w:eastAsia="zh-CN"/>
        </w:rPr>
        <w:t>（六）</w:t>
      </w:r>
      <w:bookmarkStart w:id="11" w:name="OLE_LINK33"/>
      <w:bookmarkStart w:id="12" w:name="OLE_LINK34"/>
      <w:r>
        <w:rPr>
          <w:rFonts w:hint="eastAsia"/>
          <w:b/>
          <w:lang w:val="en-US" w:eastAsia="zh-CN"/>
        </w:rPr>
        <w:t>数据</w:t>
      </w:r>
      <w:bookmarkEnd w:id="11"/>
      <w:r>
        <w:rPr>
          <w:rFonts w:hint="eastAsia"/>
          <w:b/>
          <w:lang w:val="en-US" w:eastAsia="zh-CN"/>
        </w:rPr>
        <w:t>处理</w:t>
      </w:r>
      <w:bookmarkEnd w:id="12"/>
    </w:p>
    <w:bookmarkEnd w:id="10"/>
    <w:p w14:paraId="40B83656">
      <w:pPr>
        <w:numPr>
          <w:ilvl w:val="0"/>
          <w:numId w:val="0"/>
        </w:numPr>
        <w:ind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对于下载好的公司年报数据，文件格式为pdf，我们对其进行分词，并转换为txt文件，为后续建模和预测做准备。</w:t>
      </w:r>
    </w:p>
    <w:p w14:paraId="6C622B45">
      <w:pPr>
        <w:numPr>
          <w:ilvl w:val="0"/>
          <w:numId w:val="0"/>
        </w:numPr>
        <w:ind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对于每一份pdf文件，我们按顺序进行如下处理：</w:t>
      </w:r>
    </w:p>
    <w:p w14:paraId="1112DBE9">
      <w:pPr>
        <w:numPr>
          <w:ilvl w:val="0"/>
          <w:numId w:val="3"/>
        </w:numPr>
        <w:ind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使用Python的fitz库读取pdf文件中的文本，过滤表格、图片等内容。</w:t>
      </w:r>
    </w:p>
    <w:p w14:paraId="0FAEC624">
      <w:pPr>
        <w:numPr>
          <w:ilvl w:val="0"/>
          <w:numId w:val="3"/>
        </w:numPr>
        <w:ind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使用Python的re正则表达式过滤文本中的空字符。</w:t>
      </w:r>
    </w:p>
    <w:p w14:paraId="52BE8A9D">
      <w:pPr>
        <w:numPr>
          <w:ilvl w:val="0"/>
          <w:numId w:val="3"/>
        </w:numPr>
        <w:ind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使用Python的jieba对文本进行分词。</w:t>
      </w:r>
    </w:p>
    <w:p w14:paraId="3F3BCAAE">
      <w:pPr>
        <w:numPr>
          <w:ilvl w:val="0"/>
          <w:numId w:val="3"/>
        </w:numPr>
        <w:ind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根据停用词表去除停用词。</w:t>
      </w:r>
    </w:p>
    <w:p w14:paraId="587D6E86">
      <w:pPr>
        <w:numPr>
          <w:ilvl w:val="0"/>
          <w:numId w:val="3"/>
        </w:numPr>
        <w:ind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保存为txt文件。</w:t>
      </w:r>
    </w:p>
    <w:p w14:paraId="0C002569">
      <w:pPr>
        <w:numPr>
          <w:ilvl w:val="0"/>
          <w:numId w:val="0"/>
        </w:numPr>
        <w:ind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最终，得到的数据如图2所示：</w:t>
      </w:r>
    </w:p>
    <w:p w14:paraId="6A2C6590">
      <w:pPr>
        <w:pStyle w:val="8"/>
        <w:numPr>
          <w:ilvl w:val="0"/>
          <w:numId w:val="0"/>
        </w:numPr>
        <w:ind w:leftChars="0" w:firstLine="420" w:firstLineChars="0"/>
        <w:jc w:val="center"/>
        <w:rPr>
          <w:rFonts w:hint="eastAsia" w:eastAsiaTheme="minor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文本数据</w:t>
      </w:r>
    </w:p>
    <w:p w14:paraId="4D00A070">
      <w:pPr>
        <w:numPr>
          <w:ilvl w:val="0"/>
          <w:numId w:val="0"/>
        </w:numPr>
        <w:ind w:leftChars="0" w:firstLine="420" w:firstLineChars="0"/>
        <w:jc w:val="center"/>
        <w:rPr>
          <w:rFonts w:hint="default" w:ascii="Times New Roman" w:hAnsi="Times New Roman" w:cs="Times New Roman"/>
          <w:lang w:val="en-US" w:eastAsia="zh-CN"/>
        </w:rPr>
      </w:pPr>
      <w:r>
        <w:drawing>
          <wp:inline distT="0" distB="0" distL="114300" distR="114300">
            <wp:extent cx="3848100" cy="187642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848100" cy="1876425"/>
                    </a:xfrm>
                    <a:prstGeom prst="rect">
                      <a:avLst/>
                    </a:prstGeom>
                    <a:noFill/>
                    <a:ln>
                      <a:noFill/>
                    </a:ln>
                  </pic:spPr>
                </pic:pic>
              </a:graphicData>
            </a:graphic>
          </wp:inline>
        </w:drawing>
      </w:r>
    </w:p>
    <w:p w14:paraId="60BB7B24">
      <w:pPr>
        <w:pStyle w:val="6"/>
        <w:bidi w:val="0"/>
        <w:rPr>
          <w:rFonts w:hint="eastAsia"/>
          <w:b/>
          <w:lang w:val="en-US" w:eastAsia="zh-CN"/>
        </w:rPr>
      </w:pPr>
      <w:r>
        <w:rPr>
          <w:rFonts w:hint="eastAsia"/>
          <w:b/>
          <w:lang w:val="en-US" w:eastAsia="zh-CN"/>
        </w:rPr>
        <w:t>三、词袋模型（Bag of Words, BoW）</w:t>
      </w:r>
    </w:p>
    <w:p w14:paraId="49F85E5B">
      <w:pPr>
        <w:pStyle w:val="7"/>
        <w:numPr>
          <w:numId w:val="0"/>
        </w:numPr>
        <w:bidi w:val="0"/>
        <w:rPr>
          <w:rFonts w:hint="default"/>
          <w:b/>
          <w:lang w:val="en-US" w:eastAsia="zh-CN"/>
        </w:rPr>
      </w:pPr>
      <w:bookmarkStart w:id="13" w:name="OLE_LINK39"/>
      <w:r>
        <w:rPr>
          <w:rFonts w:hint="eastAsia"/>
          <w:b/>
          <w:lang w:val="en-US" w:eastAsia="zh-CN"/>
        </w:rPr>
        <w:t>（</w:t>
      </w:r>
      <w:bookmarkStart w:id="14" w:name="OLE_LINK40"/>
      <w:r>
        <w:rPr>
          <w:rFonts w:hint="eastAsia"/>
          <w:b/>
          <w:lang w:val="en-US" w:eastAsia="zh-CN"/>
        </w:rPr>
        <w:t>一）词袋模</w:t>
      </w:r>
      <w:bookmarkEnd w:id="14"/>
      <w:r>
        <w:rPr>
          <w:rFonts w:hint="eastAsia"/>
          <w:b/>
          <w:lang w:val="en-US" w:eastAsia="zh-CN"/>
        </w:rPr>
        <w:t>型</w:t>
      </w:r>
    </w:p>
    <w:bookmarkEnd w:id="13"/>
    <w:p w14:paraId="13700081">
      <w:pPr>
        <w:ind w:firstLine="420"/>
        <w:rPr>
          <w:rFonts w:hint="eastAsia"/>
        </w:rPr>
      </w:pPr>
      <w:r>
        <w:t>词袋模型是一种简单且常用的文本表示方法。它的核心思想是将文本中的词汇映射为固定长度的向量，而不考虑词汇的顺序或语法结构。每个向量的维度对应于词汇表中的一个词，值表示该词在文本中出现的频率。</w:t>
      </w:r>
    </w:p>
    <w:p w14:paraId="4AD001F8">
      <w:pPr>
        <w:ind w:firstLine="420"/>
      </w:pPr>
      <w:r>
        <w:t>在</w:t>
      </w:r>
      <w:r>
        <w:rPr>
          <w:rFonts w:hint="eastAsia"/>
        </w:rPr>
        <w:t>词袋</w:t>
      </w:r>
      <w:r>
        <w:t>模型中，每个文档都被表示为一个稀疏向量，其中每个元素的值为该文档中对应词汇的词频（TF）。尽管该模型没有考虑词与词之间的关系，但它在许多文本分类和信息检索任务中表现出色。</w:t>
      </w:r>
      <w:r>
        <w:rPr>
          <w:rFonts w:hint="eastAsia"/>
        </w:rPr>
        <w:t>词袋</w:t>
      </w:r>
      <w:r>
        <w:t>模型的简单性和可解释性使其在文本数据量较大但词汇关系复杂性较低的情况下尤为有效。</w:t>
      </w:r>
    </w:p>
    <w:p w14:paraId="3A6F4D64">
      <w:pPr>
        <w:ind w:firstLine="420"/>
      </w:pPr>
      <w:r>
        <w:t>在代码实现中，首先加载了包含股票年收益率的数据集，并对每份年报文本进行读取和存储处理。具体操作是遍历每行数据，将对应的PDF格式的年报转换成文本文件，并保存到DataFrame中。这为后续文本分析提供了基础数据。</w:t>
      </w:r>
    </w:p>
    <w:p w14:paraId="5AF8D2EA">
      <w:pPr>
        <w:ind w:firstLine="420"/>
      </w:pPr>
      <w:r>
        <w:t>接下来，使用CountVectorizer对文本内容进行了向量化处理，将文本转化为词频的数值表示。这一步骤生成了一个稀疏矩阵，每一行对应一篇报告，每一列代表一个词汇的出现频率。</w:t>
      </w:r>
    </w:p>
    <w:p w14:paraId="16C02FD4">
      <w:pPr>
        <w:ind w:firstLine="420"/>
      </w:pPr>
      <w:r>
        <w:t>之后，该代码将得到的特征矩阵转换为数组格式，并将</w:t>
      </w:r>
      <w:r>
        <w:rPr>
          <w:rFonts w:hint="eastAsia"/>
        </w:rPr>
        <w:t>股票下一年与下两年收益率</w:t>
      </w:r>
      <w:r>
        <w:t>作为目标变量y。为了评估模型的效果，数据被分割为训练集和测试集，具体分割比例为80%的数据用于训练，20%的数据用于测试，确保了模型可以在未见数据上进行有效的性能评估。</w:t>
      </w:r>
    </w:p>
    <w:p w14:paraId="65F7A32B">
      <w:r>
        <w:t>模型训练使用线性回归算法，通过训练集数据拟合后，对测试集进行预测，并计算了预测结果的均方误差（MSE），以量化模型在预测未来收益率方面的准确性。最终，代码通过绘图将实际收益率与预测收益率进行了可视化对比，直观地展示了模型的预测能力。</w:t>
      </w:r>
    </w:p>
    <w:p w14:paraId="72401496">
      <w:pPr>
        <w:rPr>
          <w:rFonts w:hint="eastAsia"/>
        </w:rPr>
      </w:pPr>
      <w:r>
        <w:tab/>
      </w:r>
      <w:r>
        <w:rPr>
          <w:rFonts w:hint="eastAsia"/>
        </w:rPr>
        <w:t>从结果上来看，使用词袋模型对股票下一年收益率的预测mse为</w:t>
      </w:r>
      <w:r>
        <w:t>0.4266633929825962</w:t>
      </w:r>
      <w:r>
        <w:rPr>
          <w:rFonts w:hint="eastAsia"/>
        </w:rPr>
        <w:t>，对第二年股票收益率预测的mse为，下面给出真实值与预测值的对比图，结果上第二年的预测效果更好些。</w:t>
      </w:r>
    </w:p>
    <w:p w14:paraId="07412103">
      <w:pPr>
        <w:jc w:val="center"/>
        <w:rPr>
          <w:rFonts w:hint="eastAsia"/>
          <w:b/>
          <w:bCs/>
        </w:rPr>
      </w:pPr>
      <w:r>
        <w:rPr>
          <w:b/>
          <w:bCs/>
        </w:rPr>
        <w:drawing>
          <wp:inline distT="0" distB="0" distL="0" distR="0">
            <wp:extent cx="3698875" cy="2748915"/>
            <wp:effectExtent l="0" t="0" r="9525" b="6985"/>
            <wp:docPr id="1423079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079245"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698875" cy="2748915"/>
                    </a:xfrm>
                    <a:prstGeom prst="rect">
                      <a:avLst/>
                    </a:prstGeom>
                    <a:noFill/>
                    <a:ln>
                      <a:noFill/>
                    </a:ln>
                  </pic:spPr>
                </pic:pic>
              </a:graphicData>
            </a:graphic>
          </wp:inline>
        </w:drawing>
      </w:r>
    </w:p>
    <w:p w14:paraId="2672B328">
      <w:pPr>
        <w:jc w:val="center"/>
        <w:rPr>
          <w:rFonts w:hint="eastAsia"/>
          <w:b/>
          <w:bCs/>
        </w:rPr>
      </w:pPr>
      <w:r>
        <w:rPr>
          <w:b/>
          <w:bCs/>
        </w:rPr>
        <w:drawing>
          <wp:inline distT="0" distB="0" distL="0" distR="0">
            <wp:extent cx="3645535" cy="2748915"/>
            <wp:effectExtent l="0" t="0" r="12065" b="6985"/>
            <wp:docPr id="16093501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50191"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645535" cy="2748915"/>
                    </a:xfrm>
                    <a:prstGeom prst="rect">
                      <a:avLst/>
                    </a:prstGeom>
                    <a:noFill/>
                    <a:ln>
                      <a:noFill/>
                    </a:ln>
                  </pic:spPr>
                </pic:pic>
              </a:graphicData>
            </a:graphic>
          </wp:inline>
        </w:drawing>
      </w:r>
    </w:p>
    <w:p w14:paraId="127E9C70">
      <w:pPr>
        <w:pStyle w:val="7"/>
        <w:numPr>
          <w:numId w:val="0"/>
        </w:numPr>
        <w:bidi w:val="0"/>
        <w:rPr>
          <w:rFonts w:hint="eastAsia"/>
          <w:b/>
          <w:lang w:val="en-US" w:eastAsia="zh-CN"/>
        </w:rPr>
      </w:pPr>
      <w:bookmarkStart w:id="15" w:name="OLE_LINK38"/>
      <w:r>
        <w:rPr>
          <w:rFonts w:hint="eastAsia"/>
          <w:b/>
          <w:lang w:val="en-US" w:eastAsia="zh-CN"/>
        </w:rPr>
        <w:t>（二）TF-IDF 模型</w:t>
      </w:r>
    </w:p>
    <w:bookmarkEnd w:id="15"/>
    <w:p w14:paraId="68FC9ADD">
      <w:pPr>
        <w:ind w:firstLine="420"/>
        <w:rPr>
          <w:rFonts w:hint="eastAsia"/>
          <w:b/>
          <w:bCs/>
        </w:rPr>
      </w:pPr>
      <w:r>
        <w:rPr>
          <w:rFonts w:hint="eastAsia"/>
        </w:rPr>
        <w:t>由于词袋模型与TF-IDF模型具有较高相似性，且TF-IDF模型</w:t>
      </w:r>
      <w:r>
        <w:t>是基于词袋模型的</w:t>
      </w:r>
      <w:r>
        <w:rPr>
          <w:rFonts w:hint="eastAsia"/>
        </w:rPr>
        <w:t>改进模型。TF-IDF模型</w:t>
      </w:r>
      <w:r>
        <w:t>通过引入IDF，以更好地捕捉文本的特征</w:t>
      </w:r>
      <w:r>
        <w:rPr>
          <w:rFonts w:hint="eastAsia"/>
        </w:rPr>
        <w:t>。</w:t>
      </w:r>
      <w:r>
        <w:t>词袋模型仅仅考虑文本中每个词出现的频率，而不考虑词的顺序或位置。TF-IDF不仅考虑词在文本中出现的频率（TF），还考虑了该词在整个语料库中的逆文档频率（IDF）。</w:t>
      </w:r>
      <w:r>
        <w:rPr>
          <w:rFonts w:hint="eastAsia"/>
        </w:rPr>
        <w:t>考虑到这种相似性，小组也针对TF-IDF模型进行了模型训练并预测了未来一年与未来两年的股票收益率情况。</w:t>
      </w:r>
    </w:p>
    <w:p w14:paraId="1E443A60">
      <w:pPr>
        <w:ind w:firstLine="420"/>
        <w:rPr>
          <w:rFonts w:hint="eastAsia"/>
        </w:rPr>
      </w:pPr>
      <w:r>
        <w:t>TF-IDF（Term Frequency-Inverse Document Frequency）模型是一种增强版的词袋模型，它不仅考虑了词汇在文档中的频率（Term Frequency, TF），还结合了词汇在整个语料库中的逆文档频率（Inverse Document Frequency, IDF）。通过这种方式，TF-IDF能够降低常见词汇的权重，并增强对文档区分度更高的词汇的影响。</w:t>
      </w:r>
    </w:p>
    <w:p w14:paraId="3A802581">
      <w:pPr>
        <w:ind w:firstLine="420"/>
      </w:pPr>
      <w:r>
        <w:t>在TF-IDF模型中，每个词的TF-IDF值由其在特定文档中的频率（TF）与其在整个文档集中的反频率（IDF）相乘得出。较高的TF-IDF值通常表明该词在特定文档中具有较强的代表性，且在其他文档中较为罕见。</w:t>
      </w:r>
    </w:p>
    <w:p w14:paraId="71C824F3">
      <w:pPr>
        <w:ind w:firstLine="420"/>
      </w:pPr>
      <w:r>
        <w:t>在代码实现中，首先加载了包含股票年收益率的数据集，并对每份年报文本进行读取和存储处理。具体操作是遍历每行数据，将对应的PDF格式的年报转换成文本文件，并保存到DataFrame中。这为后续文本分析提供了基础数据。</w:t>
      </w:r>
    </w:p>
    <w:p w14:paraId="263E6634">
      <w:pPr>
        <w:ind w:firstLine="420"/>
      </w:pPr>
      <w:r>
        <w:t>接下来，使用TfidfVectorizer对文本内容进行了向量化处理，将文本转化为TF-IDF的数值表示。这一步骤生成了一个稀疏矩阵，每一行对应一篇报告，每一列代表一个词汇的加权频率，体现了词汇在文档</w:t>
      </w:r>
      <w:bookmarkStart w:id="16" w:name="OLE_LINK27"/>
      <w:r>
        <w:t>中的重要性及其在整个语料库中的分布。</w:t>
      </w:r>
    </w:p>
    <w:p w14:paraId="42E3B055">
      <w:pPr>
        <w:ind w:firstLine="420"/>
      </w:pPr>
      <w:r>
        <w:t>之后，该代码将得到的特征矩阵转换为数组格式，并将</w:t>
      </w:r>
      <w:r>
        <w:rPr>
          <w:rFonts w:hint="eastAsia"/>
        </w:rPr>
        <w:t>股票下一年与下两年收益率</w:t>
      </w:r>
      <w:r>
        <w:t>作为目标变量y。为了评估模型的效果，数据被分割为训练集和测试集，具体分割比例为80%的数据用于训练，20%的数据用于测试，确</w:t>
      </w:r>
      <w:bookmarkEnd w:id="16"/>
      <w:r>
        <w:t>保了模型可以在未见数据上进行有效的性能评估。</w:t>
      </w:r>
    </w:p>
    <w:p w14:paraId="33F085BF">
      <w:r>
        <w:t>模型训练使用的是线性回归算法，通过训练集数据拟合后，对测试集进行预测，并计算了预测结果的均方误差（MSE），以量化模型在预测未来收益率方面的准确性。最终，代码通过绘图将实际收益率与预测收益率进行了可视化对比，直观地展示了模型的预测能力。</w:t>
      </w:r>
    </w:p>
    <w:p w14:paraId="7BCAB75E">
      <w:pPr>
        <w:tabs>
          <w:tab w:val="left" w:pos="2216"/>
        </w:tabs>
        <w:ind w:firstLine="420" w:firstLineChars="200"/>
      </w:pPr>
      <w:r>
        <w:rPr>
          <w:rFonts w:hint="eastAsia"/>
        </w:rPr>
        <w:t>从结果上来看，使用词袋模型对股票下一年收益率的预测mse为，对第二年股票收益率预测的mse为，下面给出真实值与预测值的对比图，结果上第二年的预测效果更好些。</w:t>
      </w:r>
    </w:p>
    <w:p w14:paraId="2789FD12">
      <w:pPr>
        <w:tabs>
          <w:tab w:val="left" w:pos="2216"/>
        </w:tabs>
        <w:jc w:val="center"/>
      </w:pPr>
      <w:r>
        <w:drawing>
          <wp:inline distT="0" distB="0" distL="0" distR="0">
            <wp:extent cx="3665220" cy="2750820"/>
            <wp:effectExtent l="0" t="0" r="5080" b="5080"/>
            <wp:docPr id="15376299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629971"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665220" cy="2750820"/>
                    </a:xfrm>
                    <a:prstGeom prst="rect">
                      <a:avLst/>
                    </a:prstGeom>
                    <a:noFill/>
                    <a:ln>
                      <a:noFill/>
                    </a:ln>
                  </pic:spPr>
                </pic:pic>
              </a:graphicData>
            </a:graphic>
          </wp:inline>
        </w:drawing>
      </w:r>
    </w:p>
    <w:p w14:paraId="1AB480DF">
      <w:pPr>
        <w:tabs>
          <w:tab w:val="left" w:pos="2216"/>
        </w:tabs>
        <w:jc w:val="center"/>
        <w:rPr>
          <w:rFonts w:hint="eastAsia"/>
        </w:rPr>
      </w:pPr>
      <w:r>
        <w:drawing>
          <wp:inline distT="0" distB="0" distL="0" distR="0">
            <wp:extent cx="3686810" cy="2750820"/>
            <wp:effectExtent l="0" t="0" r="8890" b="5080"/>
            <wp:docPr id="4240053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05373"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686810" cy="2750820"/>
                    </a:xfrm>
                    <a:prstGeom prst="rect">
                      <a:avLst/>
                    </a:prstGeom>
                    <a:noFill/>
                    <a:ln>
                      <a:noFill/>
                    </a:ln>
                  </pic:spPr>
                </pic:pic>
              </a:graphicData>
            </a:graphic>
          </wp:inline>
        </w:drawing>
      </w:r>
    </w:p>
    <w:p w14:paraId="268B5D69">
      <w:pPr>
        <w:spacing w:line="360" w:lineRule="auto"/>
        <w:rPr>
          <w:rFonts w:hint="eastAsia"/>
          <w:lang w:val="en-US" w:eastAsia="zh-CN"/>
        </w:rPr>
      </w:pPr>
    </w:p>
    <w:p w14:paraId="3EA93DD0">
      <w:pPr>
        <w:pStyle w:val="6"/>
        <w:bidi w:val="0"/>
        <w:rPr>
          <w:rFonts w:hint="eastAsia"/>
          <w:b/>
          <w:lang w:val="en-US" w:eastAsia="zh-CN"/>
        </w:rPr>
      </w:pPr>
      <w:r>
        <w:rPr>
          <w:rFonts w:hint="eastAsia"/>
          <w:b/>
          <w:lang w:val="en-US" w:eastAsia="zh-CN"/>
        </w:rPr>
        <w:t>四、Word2Vec模型</w:t>
      </w:r>
    </w:p>
    <w:p w14:paraId="62DA57AC">
      <w:pPr>
        <w:ind w:firstLine="420"/>
        <w:rPr>
          <w:rFonts w:hint="eastAsia"/>
        </w:rPr>
      </w:pPr>
      <w:r>
        <w:rPr>
          <w:rFonts w:hint="eastAsia"/>
        </w:rPr>
        <w:t>Word2Vec是一种将词汇映射到低维向量空间的神经网络模型，最初由Google在2013年提出。其核心思想是将每个词表示为一个固定大小的向量（即词嵌入），这些向量能够捕捉词汇之间的语义关系。在向量空间中，语义相似的词通常会有相似的向量表示。Word2Vec有两种主要的训练方法：CBOW（Continuous Bag of Words）和Skip-Gram。CBOW模型：它根据上下文词预测目标词。例如，给定一个句子，CBOW模型会尝试预测其中的每个词的上下文。这种方法在文本数据量较小时通常表现较好，因为它更关注全局的语义信息。Skip-Gram模型：与CBOW相反，Skip-Gram模型根据目标词预测其上下文词。也就是说，给定一个词，模型会尝试预测在其前后可能出现的词。Skip-Gram通常在大规模数据集上表现更佳，因为它更关注细粒度的词对关系。Word2Vec模型的目标是通过优化使相似词的向量在向量空间中距离更近。例如，“king”和“queen”的词向量可能在某个维度上非常接近，而与“apple”的距离较远。这种语义信息使得Word2Vec能够被广泛应用于文本分类、信息检索、问答系统等任务。训练Word2Vec模型的过程实际上是通过调整模型的权重，使得词与上下文之间的关系符合训练数据中的实际情况。通过反向传播和梯度下降，模型逐步调整词向量，使它们能够捕捉到上下文中的语义关系。训练完成后，模型可以通过多种方式使用，例如获取词的向量表示、计算词之间的相似度、查找与给定词最相似的词等。</w:t>
      </w:r>
    </w:p>
    <w:p w14:paraId="2B084B70">
      <w:pPr>
        <w:ind w:firstLine="420"/>
        <w:rPr>
          <w:rFonts w:hint="eastAsia"/>
        </w:rPr>
      </w:pPr>
      <w:r>
        <w:rPr>
          <w:rFonts w:hint="eastAsia"/>
        </w:rPr>
        <w:t>在代码具体实现过程中，首先加载了股票收益率数据，并读取每份报告的文本内容。通过将报告文件从PDF转换为文本文件并存储在DataFrame中，程序为后续的文本处理打下了基础。接下来，使用gensim库中的Word2Vec类对报告文本进行训练。训练时，指定词向量维度为100，窗口大小为5，最小词频为1，以确保所有词语都参与模型训练。训练完Word2Vec模型后，代码计算了每个报告的平均词向量。具体来说，通过将每个词的词向量取平均值，生成一个固定维度的向量来表示整篇报告。这些向量随后被用作线性回归模型的特征输入，目标变量则是股票的下一年或第二年的收益率。在此基础上，将数据按照4：1的比例划分为训练集和测试集，使用训练集对线性回归模型进行拟合，并在测试集上进行预</w:t>
      </w:r>
      <w:bookmarkStart w:id="17" w:name="OLE_LINK4"/>
      <w:r>
        <w:rPr>
          <w:rFonts w:hint="eastAsia"/>
        </w:rPr>
        <w:t>测。最后，计算并输出均方误差（MSE），以评估模型在样本外的预测性能。此外，代码还通过绘制真实值和预测值的对比图，直观展示了模型的表现。</w:t>
      </w:r>
    </w:p>
    <w:p w14:paraId="54AE6C12">
      <w:pPr>
        <w:ind w:firstLine="420"/>
        <w:jc w:val="left"/>
      </w:pPr>
      <w:bookmarkStart w:id="18" w:name="OLE_LINK28"/>
      <w:r>
        <w:rPr>
          <w:rFonts w:hint="eastAsia"/>
        </w:rPr>
        <w:t>使用Word2Vec模型对股票下一年</w:t>
      </w:r>
      <w:bookmarkStart w:id="19" w:name="OLE_LINK5"/>
      <w:r>
        <w:rPr>
          <w:rFonts w:hint="eastAsia"/>
        </w:rPr>
        <w:t>收益率</w:t>
      </w:r>
      <w:bookmarkEnd w:id="19"/>
      <w:r>
        <w:rPr>
          <w:rFonts w:hint="eastAsia"/>
        </w:rPr>
        <w:t>预测的MSE约为0.219，，而对第二年股票收益率预测的MSE约为0.089，下面给出了真实值和预测值的对比图，可以看到对第二年股票收益率进行预测的效果要明显更好一些。</w:t>
      </w:r>
      <w:bookmarkEnd w:id="17"/>
      <w:bookmarkEnd w:id="18"/>
      <w:r>
        <w:drawing>
          <wp:inline distT="0" distB="0" distL="0" distR="0">
            <wp:extent cx="4986655" cy="2633345"/>
            <wp:effectExtent l="0" t="0" r="4445" b="8255"/>
            <wp:docPr id="636832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32027" name="图片 1"/>
                    <pic:cNvPicPr>
                      <a:picLocks noChangeAspect="1"/>
                    </pic:cNvPicPr>
                  </pic:nvPicPr>
                  <pic:blipFill>
                    <a:blip r:embed="rId10"/>
                    <a:stretch>
                      <a:fillRect/>
                    </a:stretch>
                  </pic:blipFill>
                  <pic:spPr>
                    <a:xfrm>
                      <a:off x="0" y="0"/>
                      <a:ext cx="4986655" cy="2633345"/>
                    </a:xfrm>
                    <a:prstGeom prst="rect">
                      <a:avLst/>
                    </a:prstGeom>
                  </pic:spPr>
                </pic:pic>
              </a:graphicData>
            </a:graphic>
          </wp:inline>
        </w:drawing>
      </w:r>
    </w:p>
    <w:p w14:paraId="49E5332B">
      <w:pPr>
        <w:spacing w:line="360" w:lineRule="auto"/>
      </w:pPr>
    </w:p>
    <w:p w14:paraId="02396A98">
      <w:pPr>
        <w:spacing w:line="360" w:lineRule="auto"/>
        <w:jc w:val="center"/>
        <w:rPr>
          <w:rFonts w:hint="eastAsia"/>
        </w:rPr>
      </w:pPr>
      <w:r>
        <w:drawing>
          <wp:inline distT="0" distB="0" distL="0" distR="0">
            <wp:extent cx="5274310" cy="2785110"/>
            <wp:effectExtent l="0" t="0" r="8890" b="8890"/>
            <wp:docPr id="21011804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80435" name="图片 1"/>
                    <pic:cNvPicPr>
                      <a:picLocks noChangeAspect="1"/>
                    </pic:cNvPicPr>
                  </pic:nvPicPr>
                  <pic:blipFill>
                    <a:blip r:embed="rId11"/>
                    <a:stretch>
                      <a:fillRect/>
                    </a:stretch>
                  </pic:blipFill>
                  <pic:spPr>
                    <a:xfrm>
                      <a:off x="0" y="0"/>
                      <a:ext cx="5274310" cy="2785110"/>
                    </a:xfrm>
                    <a:prstGeom prst="rect">
                      <a:avLst/>
                    </a:prstGeom>
                  </pic:spPr>
                </pic:pic>
              </a:graphicData>
            </a:graphic>
          </wp:inline>
        </w:drawing>
      </w:r>
    </w:p>
    <w:p w14:paraId="3447624A">
      <w:pPr>
        <w:pStyle w:val="6"/>
        <w:bidi w:val="0"/>
        <w:rPr>
          <w:rFonts w:hint="eastAsia"/>
          <w:b/>
          <w:lang w:val="en-US" w:eastAsia="zh-CN"/>
        </w:rPr>
      </w:pPr>
      <w:r>
        <w:rPr>
          <w:rFonts w:hint="eastAsia"/>
          <w:b/>
          <w:lang w:val="en-US" w:eastAsia="zh-CN"/>
        </w:rPr>
        <w:t>五、Doc2Vec模型</w:t>
      </w:r>
    </w:p>
    <w:p w14:paraId="025E89F8">
      <w:pPr>
        <w:ind w:firstLine="420" w:firstLineChars="200"/>
      </w:pPr>
      <w:r>
        <w:rPr>
          <w:rFonts w:hint="eastAsia"/>
        </w:rPr>
        <w:t>Doc2Vec方法是一种无监督算法，能从变长的文本（例如：句子、段落或文档）中学习得到固定长度的特征表示。Doc2Vec也可以叫做 Paragraph Vector、Sentence Embeddings，它可以获得句子、段落和文档的向量表达，是Word2Vec的拓展，可以不用固定句子长度，接受不同长度的句子做训练样本。</w:t>
      </w:r>
    </w:p>
    <w:p w14:paraId="5D71BDED">
      <w:pPr>
        <w:ind w:firstLine="420" w:firstLineChars="200"/>
        <w:rPr>
          <w:rFonts w:hint="eastAsia"/>
        </w:rPr>
      </w:pPr>
      <w:bookmarkStart w:id="20" w:name="OLE_LINK6"/>
      <w:r>
        <w:rPr>
          <w:rFonts w:hint="eastAsia"/>
        </w:rPr>
        <w:t>Doc2Vec模型是受到了Word2Vec模型的启发。Word2Vec预测词向量时，预测出来的词是含有词义的，Doc2Vec中也是构建了相同的结构，所以Doc2Vec克服了词袋模型中没有语义的缺点。假设现在存在训练样本，每个句子是训练样本，和Word2Vec一样，Doc2Vec也有两种训练方式，一种是分布记忆的段落向量（Distributed Memory Model of Paragraph Vectors , PV-DM）类似于Word2Vec中的CBOW模型，另一种是分布词袋版本的段落向量（Distributed Bag of Words version of Paragraph Vector，PV-DBOW）类似于Word2Vec中的Skip-gram模型。</w:t>
      </w:r>
    </w:p>
    <w:bookmarkEnd w:id="20"/>
    <w:p w14:paraId="050AA3FB">
      <w:pPr>
        <w:ind w:firstLine="420" w:firstLineChars="200"/>
      </w:pPr>
      <w:r>
        <w:rPr>
          <w:rFonts w:hint="eastAsia"/>
        </w:rPr>
        <w:t>Doc2vec相对于Word2vec不同之处在于，在输入层增添了一个新的句子向量Paragraph vector，Paragraph vector可以被看作是另一个词向量，它扮演了一个记忆角色。Average Word Vectors</w:t>
      </w:r>
      <w:bookmarkStart w:id="21" w:name="OLE_LINK11"/>
      <w:r>
        <w:rPr>
          <w:rFonts w:hint="eastAsia"/>
        </w:rPr>
        <w:t>中，使用Word2Vec训练词向量，因为每次训练只会截取句子中一小部分词训练，而忽略了除了本</w:t>
      </w:r>
      <w:bookmarkStart w:id="22" w:name="OLE_LINK12"/>
      <w:r>
        <w:rPr>
          <w:rFonts w:hint="eastAsia"/>
        </w:rPr>
        <w:t>次训练词以外该句子中的其他词，这样仅仅训练出来每个词的向量表达，句子只是每个词的向量累加在一起取平均的一种表达。正如上面所说的Average Word Vectors的缺点，忽略了文本的词序问题。而Doc2vec中的Paragraph vector则弥补了这方面的不足，它每次训练也是滑动截取句子中</w:t>
      </w:r>
      <w:bookmarkEnd w:id="22"/>
      <w:r>
        <w:rPr>
          <w:rFonts w:hint="eastAsia"/>
        </w:rPr>
        <w:t>一小部分词来训练，Paragraph Vector在同一个句子的若干次训练中是共享的，所以同一句话会有多次训练，每次训练中输入都包含Paragraph vector。它可以被看作是句子的主旨，有了它，该句子的主旨每次都会被作为输入的一部分来训练。这样每次训</w:t>
      </w:r>
      <w:bookmarkStart w:id="23" w:name="OLE_LINK9"/>
      <w:r>
        <w:rPr>
          <w:rFonts w:hint="eastAsia"/>
        </w:rPr>
        <w:t>练过程中，不光是训练了词</w:t>
      </w:r>
      <w:bookmarkEnd w:id="21"/>
      <w:r>
        <w:rPr>
          <w:rFonts w:hint="eastAsia"/>
        </w:rPr>
        <w:t>，得到了词向量。同时随着一句话每次滑动取若干词训练的过程中，作为</w:t>
      </w:r>
      <w:bookmarkEnd w:id="23"/>
      <w:r>
        <w:rPr>
          <w:rFonts w:hint="eastAsia"/>
        </w:rPr>
        <w:t>每次训练的输入层一部分的共享Paragraph vector，该向量表达的主旨会越来越准确。</w:t>
      </w:r>
    </w:p>
    <w:p w14:paraId="35B7D73F">
      <w:pPr>
        <w:ind w:firstLine="420" w:firstLineChars="200"/>
        <w:rPr>
          <w:rFonts w:hint="eastAsia"/>
        </w:rPr>
      </w:pPr>
      <w:r>
        <w:rPr>
          <w:rFonts w:hint="eastAsia"/>
        </w:rPr>
        <w:t>在代码具体实现过程中，首先加载了股票收益率数据，并读取每份报告的文本内容。通过将报告文件从PDF转换为文本文件并存储在DataFrame中，并将文本数据转换为gensim的TaggedDocument</w:t>
      </w:r>
      <w:bookmarkStart w:id="24" w:name="OLE_LINK8"/>
      <w:r>
        <w:rPr>
          <w:rFonts w:hint="eastAsia"/>
        </w:rPr>
        <w:t>格式，这是训练Doc2Vec模型所需的格式。接着训练Doc2Vec模型，设置向量大小为100，窗口大小</w:t>
      </w:r>
      <w:bookmarkEnd w:id="24"/>
      <w:r>
        <w:rPr>
          <w:rFonts w:hint="eastAsia"/>
        </w:rPr>
        <w:t>为5，最小词频为1，并使用4个工作线程。在模型训练之后，定义一个函数compute_document_vector，用于计算文档的向量表示，计算文档向量并将其存储在DataFrame的doc_vector列中，再准备特征矩阵X和目标变量y，移除NaN值以确保数据的一致性。在此基础上，将数据按照4：1的比例划分为训练集和测试集，使用训练集对线性回归模型进行拟合，并在测试集上进行预测。最后，计算并输出均方误差（MSE），以评估模型在样本外的预测性能。此外，代码还通过绘制真实值和预测值的对比图，直观展示了模型的表现。</w:t>
      </w:r>
    </w:p>
    <w:p w14:paraId="78B0677C">
      <w:pPr>
        <w:ind w:firstLine="420" w:firstLineChars="200"/>
      </w:pPr>
      <w:r>
        <w:rPr>
          <w:rFonts w:hint="eastAsia"/>
        </w:rPr>
        <w:t>具体真实值和预测值的对比图如下：</w:t>
      </w:r>
    </w:p>
    <w:p w14:paraId="0A6CD26B">
      <w:pPr>
        <w:rPr>
          <w:rFonts w:hint="eastAsia"/>
        </w:rPr>
      </w:pPr>
      <w:r>
        <w:drawing>
          <wp:inline distT="0" distB="0" distL="0" distR="0">
            <wp:extent cx="5017135" cy="3707130"/>
            <wp:effectExtent l="0" t="0" r="12065" b="1270"/>
            <wp:docPr id="1193661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661843" name="图片 1"/>
                    <pic:cNvPicPr>
                      <a:picLocks noChangeAspect="1"/>
                    </pic:cNvPicPr>
                  </pic:nvPicPr>
                  <pic:blipFill>
                    <a:blip r:embed="rId12"/>
                    <a:stretch>
                      <a:fillRect/>
                    </a:stretch>
                  </pic:blipFill>
                  <pic:spPr>
                    <a:xfrm>
                      <a:off x="0" y="0"/>
                      <a:ext cx="5017135" cy="3707130"/>
                    </a:xfrm>
                    <a:prstGeom prst="rect">
                      <a:avLst/>
                    </a:prstGeom>
                  </pic:spPr>
                </pic:pic>
              </a:graphicData>
            </a:graphic>
          </wp:inline>
        </w:drawing>
      </w:r>
    </w:p>
    <w:p w14:paraId="1EF2790B">
      <w:pPr>
        <w:pStyle w:val="6"/>
        <w:bidi w:val="0"/>
        <w:rPr>
          <w:rFonts w:hint="eastAsia"/>
          <w:b/>
          <w:lang w:val="en-US" w:eastAsia="zh-CN"/>
        </w:rPr>
      </w:pPr>
      <w:bookmarkStart w:id="25" w:name="OLE_LINK37"/>
      <w:r>
        <w:rPr>
          <w:rFonts w:hint="eastAsia"/>
          <w:b/>
          <w:lang w:val="en-US" w:eastAsia="zh-CN"/>
        </w:rPr>
        <w:t>六、模型预测性能比较</w:t>
      </w:r>
    </w:p>
    <w:bookmarkEnd w:id="25"/>
    <w:p w14:paraId="05890801">
      <w:pPr>
        <w:widowControl w:val="0"/>
        <w:numPr>
          <w:ilvl w:val="0"/>
          <w:numId w:val="4"/>
        </w:numPr>
        <w:jc w:val="both"/>
        <w:rPr>
          <w:rFonts w:hint="eastAsia" w:ascii="Arial" w:hAnsi="Arial" w:eastAsia="黑体" w:cstheme="minorBidi"/>
          <w:b/>
          <w:kern w:val="2"/>
          <w:sz w:val="24"/>
          <w:szCs w:val="24"/>
          <w:lang w:val="en-US" w:eastAsia="zh-CN" w:bidi="ar-SA"/>
        </w:rPr>
      </w:pPr>
      <w:bookmarkStart w:id="26" w:name="OLE_LINK36"/>
      <w:r>
        <w:rPr>
          <w:rFonts w:hint="eastAsia" w:ascii="Arial" w:hAnsi="Arial" w:eastAsia="黑体" w:cstheme="minorBidi"/>
          <w:b/>
          <w:kern w:val="2"/>
          <w:sz w:val="24"/>
          <w:szCs w:val="24"/>
          <w:lang w:val="en-US" w:eastAsia="zh-CN" w:bidi="ar-SA"/>
        </w:rPr>
        <w:t>不同模型性能比较</w:t>
      </w:r>
    </w:p>
    <w:bookmarkEnd w:id="26"/>
    <w:p w14:paraId="6F6BE6B9">
      <w:pPr>
        <w:rPr>
          <w:rFonts w:hint="eastAsia"/>
          <w:lang w:val="en-US" w:eastAsia="zh-CN"/>
        </w:rPr>
      </w:pPr>
      <w:bookmarkStart w:id="27" w:name="OLE_LINK10"/>
      <w:bookmarkStart w:id="28" w:name="OLE_LINK7"/>
      <w:r>
        <w:rPr>
          <w:rFonts w:hint="eastAsia"/>
          <w:lang w:val="en-US" w:eastAsia="zh-CN"/>
        </w:rPr>
        <w:t>在上述提及的四大模型之</w:t>
      </w:r>
      <w:bookmarkStart w:id="44" w:name="_GoBack"/>
      <w:bookmarkEnd w:id="44"/>
      <w:r>
        <w:rPr>
          <w:rFonts w:hint="eastAsia"/>
          <w:lang w:val="en-US" w:eastAsia="zh-CN"/>
        </w:rPr>
        <w:t>间我们比较了各个模型对第一年收益率以及第二年收益率的预测情况，通过对不同模型在验证集的预测进行比较（见下图）可以发现如下结论：</w:t>
      </w:r>
    </w:p>
    <w:p w14:paraId="0D85C310">
      <w:pPr>
        <w:ind w:firstLine="420" w:firstLineChars="0"/>
        <w:rPr>
          <w:rFonts w:hint="default"/>
          <w:lang w:val="en-US" w:eastAsia="zh-CN"/>
        </w:rPr>
      </w:pPr>
      <w:r>
        <w:rPr>
          <w:rFonts w:hint="eastAsia"/>
          <w:lang w:val="en-US" w:eastAsia="zh-CN"/>
        </w:rPr>
        <w:t xml:space="preserve">1 </w:t>
      </w:r>
      <w:bookmarkStart w:id="29" w:name="OLE_LINK30"/>
      <w:r>
        <w:rPr>
          <w:rFonts w:hint="eastAsia"/>
          <w:lang w:val="en-US" w:eastAsia="zh-CN"/>
        </w:rPr>
        <w:t xml:space="preserve">Bag of Words (CountVectorizer) 和 TF-IDF Vectorizer </w:t>
      </w:r>
      <w:bookmarkEnd w:id="29"/>
      <w:r>
        <w:rPr>
          <w:rFonts w:hint="eastAsia"/>
          <w:lang w:val="en-US" w:eastAsia="zh-CN"/>
        </w:rPr>
        <w:t>在两个时间窗口中的表现都较差。第一年预测MSE分别为0.427与0.275，第二年预测MSE分别为0.249与0.216。</w:t>
      </w:r>
    </w:p>
    <w:p w14:paraId="5AEAE46F">
      <w:pPr>
        <w:ind w:firstLine="420" w:firstLineChars="0"/>
        <w:rPr>
          <w:rFonts w:hint="eastAsia"/>
          <w:lang w:val="en-US" w:eastAsia="zh-CN"/>
        </w:rPr>
      </w:pPr>
      <w:r>
        <w:rPr>
          <w:rFonts w:hint="eastAsia"/>
          <w:lang w:val="en-US" w:eastAsia="zh-CN"/>
        </w:rPr>
        <w:t>原因: 这两种模型都是基于词频的简单文本表示方法。它们无法捕捉词汇之间的语义关系，也不能理解文本的上下文。特别是在处理涉及复杂金融文本的任务时，这种方法的局限性显得尤为明显。TF-IDF 在一定程度上考虑了词频的重要性，与传统词袋模型相比模型表现有所提高，但仍然没有克服 Bag of Words 的基本局限性。</w:t>
      </w:r>
    </w:p>
    <w:p w14:paraId="0E64FE2B">
      <w:pPr>
        <w:ind w:firstLine="420" w:firstLineChars="0"/>
        <w:rPr>
          <w:rFonts w:hint="eastAsia"/>
          <w:lang w:val="en-US" w:eastAsia="zh-CN"/>
        </w:rPr>
      </w:pPr>
      <w:r>
        <w:rPr>
          <w:rFonts w:hint="eastAsia"/>
          <w:lang w:val="en-US" w:eastAsia="zh-CN"/>
        </w:rPr>
        <w:t xml:space="preserve">2 Doc2Vec 和 </w:t>
      </w:r>
      <w:bookmarkStart w:id="30" w:name="OLE_LINK22"/>
      <w:r>
        <w:rPr>
          <w:rFonts w:hint="eastAsia"/>
          <w:lang w:val="en-US" w:eastAsia="zh-CN"/>
        </w:rPr>
        <w:t>Word2Vec 模型表现较好，两个模型两年的MSE都接近，且都小于Bag of Words (CountVectorizer) 和 TF-IDF Vectorizer 模型。</w:t>
      </w:r>
    </w:p>
    <w:p w14:paraId="18B85704">
      <w:pPr>
        <w:ind w:firstLine="420" w:firstLineChars="0"/>
        <w:rPr>
          <w:rFonts w:hint="eastAsia"/>
          <w:lang w:val="en-US" w:eastAsia="zh-CN"/>
        </w:rPr>
      </w:pPr>
      <w:r>
        <w:rPr>
          <w:rFonts w:hint="eastAsia"/>
          <w:lang w:val="en-US" w:eastAsia="zh-CN"/>
        </w:rPr>
        <w:t>原因: 这</w:t>
      </w:r>
      <w:bookmarkStart w:id="31" w:name="OLE_LINK17"/>
      <w:r>
        <w:rPr>
          <w:rFonts w:hint="eastAsia"/>
          <w:lang w:val="en-US" w:eastAsia="zh-CN"/>
        </w:rPr>
        <w:t>两个</w:t>
      </w:r>
      <w:bookmarkStart w:id="32" w:name="OLE_LINK18"/>
      <w:r>
        <w:rPr>
          <w:rFonts w:hint="eastAsia"/>
          <w:lang w:val="en-US" w:eastAsia="zh-CN"/>
        </w:rPr>
        <w:t>模型能够捕捉到词汇之间的语义关系。Doc2Vec 通过将整个文档表示为一个向量，能够更好地理</w:t>
      </w:r>
      <w:bookmarkEnd w:id="30"/>
      <w:r>
        <w:rPr>
          <w:rFonts w:hint="eastAsia"/>
          <w:lang w:val="en-US" w:eastAsia="zh-CN"/>
        </w:rPr>
        <w:t>解</w:t>
      </w:r>
      <w:bookmarkEnd w:id="31"/>
      <w:r>
        <w:rPr>
          <w:rFonts w:hint="eastAsia"/>
          <w:lang w:val="en-US" w:eastAsia="zh-CN"/>
        </w:rPr>
        <w:t>文本</w:t>
      </w:r>
      <w:bookmarkEnd w:id="32"/>
      <w:r>
        <w:rPr>
          <w:rFonts w:hint="eastAsia"/>
          <w:lang w:val="en-US" w:eastAsia="zh-CN"/>
        </w:rPr>
        <w:t>的整体语义，这对于金融文档的长期预测尤其重要。Word2Vec 则通过学习词汇的分布式表示，能够更好地捕捉词汇的上下文信息。相较于词袋模型，这些模型更能应对金融文本的复杂性和非线性特征。</w:t>
      </w:r>
    </w:p>
    <w:p w14:paraId="7571E738">
      <w:pPr>
        <w:ind w:firstLine="420" w:firstLineChars="0"/>
        <w:rPr>
          <w:rFonts w:hint="eastAsia"/>
          <w:lang w:val="en-US" w:eastAsia="zh-CN"/>
        </w:rPr>
      </w:pPr>
      <w:r>
        <w:rPr>
          <w:rFonts w:hint="eastAsia"/>
          <w:lang w:val="en-US" w:eastAsia="zh-CN"/>
        </w:rPr>
        <w:t>3 Doc2Vec 和 Word2Vec 在预测两年后收益率时的 MSE 显著降低。</w:t>
      </w:r>
    </w:p>
    <w:p w14:paraId="6C4F2350">
      <w:pPr>
        <w:ind w:firstLine="420" w:firstLineChars="0"/>
        <w:rPr>
          <w:rFonts w:hint="eastAsia"/>
          <w:lang w:val="en-US" w:eastAsia="zh-CN"/>
        </w:rPr>
      </w:pPr>
      <w:r>
        <w:rPr>
          <w:rFonts w:hint="eastAsia"/>
          <w:lang w:val="en-US" w:eastAsia="zh-CN"/>
        </w:rPr>
        <w:t>原因: 这可能是因为这些模型能够更好地捕捉文本中的长期趋势和语义关系，因此在预测较长时间范围内的股票收益时表现得更为准确。此外，较长时间范围的预测可能削弱了市场短期波动的影响，使得模型可以更专注于文本中所反映的长期趋势和信息。</w:t>
      </w:r>
    </w:p>
    <w:bookmarkEnd w:id="27"/>
    <w:bookmarkEnd w:id="28"/>
    <w:p w14:paraId="405734F2">
      <w:pPr>
        <w:widowControl w:val="0"/>
        <w:numPr>
          <w:ilvl w:val="0"/>
          <w:numId w:val="0"/>
        </w:numPr>
        <w:jc w:val="both"/>
      </w:pPr>
      <w:r>
        <w:drawing>
          <wp:inline distT="0" distB="0" distL="114300" distR="114300">
            <wp:extent cx="5273040" cy="912495"/>
            <wp:effectExtent l="0" t="0" r="10160" b="19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5273040" cy="912495"/>
                    </a:xfrm>
                    <a:prstGeom prst="rect">
                      <a:avLst/>
                    </a:prstGeom>
                    <a:noFill/>
                    <a:ln>
                      <a:noFill/>
                    </a:ln>
                  </pic:spPr>
                </pic:pic>
              </a:graphicData>
            </a:graphic>
          </wp:inline>
        </w:drawing>
      </w:r>
    </w:p>
    <w:p w14:paraId="381D8F4F">
      <w:pPr>
        <w:widowControl w:val="0"/>
        <w:numPr>
          <w:ilvl w:val="0"/>
          <w:numId w:val="0"/>
        </w:numPr>
        <w:jc w:val="center"/>
        <w:rPr>
          <w:rFonts w:hint="default" w:eastAsiaTheme="minorEastAsia"/>
          <w:lang w:val="en-US" w:eastAsia="zh-CN"/>
        </w:rPr>
      </w:pPr>
      <w:r>
        <w:rPr>
          <w:rFonts w:hint="eastAsia"/>
          <w:lang w:val="en-US" w:eastAsia="zh-CN"/>
        </w:rPr>
        <w:t>图：四大模型样本外MSE比较</w:t>
      </w:r>
    </w:p>
    <w:p w14:paraId="64955632">
      <w:pPr>
        <w:widowControl w:val="0"/>
        <w:numPr>
          <w:ilvl w:val="0"/>
          <w:numId w:val="4"/>
        </w:numPr>
        <w:jc w:val="both"/>
        <w:rPr>
          <w:rFonts w:hint="default" w:ascii="Arial" w:hAnsi="Arial" w:eastAsia="黑体" w:cstheme="minorBidi"/>
          <w:b/>
          <w:kern w:val="2"/>
          <w:sz w:val="24"/>
          <w:szCs w:val="24"/>
          <w:lang w:val="en-US" w:eastAsia="zh-CN" w:bidi="ar-SA"/>
        </w:rPr>
      </w:pPr>
      <w:r>
        <w:rPr>
          <w:rFonts w:hint="eastAsia" w:ascii="Arial" w:hAnsi="Arial" w:eastAsia="黑体" w:cstheme="minorBidi"/>
          <w:b/>
          <w:kern w:val="2"/>
          <w:sz w:val="24"/>
          <w:szCs w:val="24"/>
          <w:lang w:val="en-US" w:eastAsia="zh-CN" w:bidi="ar-SA"/>
        </w:rPr>
        <w:t>预测性能</w:t>
      </w:r>
      <w:bookmarkStart w:id="33" w:name="OLE_LINK14"/>
      <w:r>
        <w:rPr>
          <w:rFonts w:hint="eastAsia" w:ascii="Arial" w:hAnsi="Arial" w:eastAsia="黑体" w:cstheme="minorBidi"/>
          <w:b/>
          <w:kern w:val="2"/>
          <w:sz w:val="24"/>
          <w:szCs w:val="24"/>
          <w:lang w:val="en-US" w:eastAsia="zh-CN" w:bidi="ar-SA"/>
        </w:rPr>
        <w:t>差异原因</w:t>
      </w:r>
    </w:p>
    <w:p w14:paraId="5B6171AA">
      <w:pPr>
        <w:numPr>
          <w:ilvl w:val="0"/>
          <w:numId w:val="5"/>
        </w:numPr>
        <w:ind w:firstLine="420" w:firstLineChars="0"/>
        <w:rPr>
          <w:rFonts w:hint="eastAsia"/>
          <w:b/>
          <w:bCs/>
          <w:lang w:val="en-US" w:eastAsia="zh-CN"/>
        </w:rPr>
      </w:pPr>
      <w:bookmarkStart w:id="34" w:name="OLE_LINK20"/>
      <w:bookmarkStart w:id="35" w:name="OLE_LINK19"/>
      <w:r>
        <w:rPr>
          <w:rFonts w:hint="eastAsia"/>
          <w:b/>
          <w:bCs/>
          <w:lang w:val="en-US" w:eastAsia="zh-CN"/>
        </w:rPr>
        <w:t>收益率分</w:t>
      </w:r>
      <w:bookmarkStart w:id="36" w:name="OLE_LINK21"/>
      <w:r>
        <w:rPr>
          <w:rFonts w:hint="eastAsia"/>
          <w:b/>
          <w:bCs/>
          <w:lang w:val="en-US" w:eastAsia="zh-CN"/>
        </w:rPr>
        <w:t>布的分析</w:t>
      </w:r>
    </w:p>
    <w:bookmarkEnd w:id="34"/>
    <w:p w14:paraId="2FF2AA51">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不同年份收益率的分布会对模型的预测性能产生影响，通过观察下面rtn1y与rtn2y的分布可以发现二者的分布有明</w:t>
      </w:r>
      <w:bookmarkEnd w:id="36"/>
      <w:r>
        <w:rPr>
          <w:rFonts w:hint="eastAsia"/>
          <w:b w:val="0"/>
          <w:bCs w:val="0"/>
          <w:lang w:val="en-US" w:eastAsia="zh-CN"/>
        </w:rPr>
        <w:t>显的差异：</w:t>
      </w:r>
    </w:p>
    <w:p w14:paraId="188F25D5">
      <w:pPr>
        <w:keepNext w:val="0"/>
        <w:keepLines w:val="0"/>
        <w:widowControl/>
        <w:suppressLineNumbers w:val="0"/>
        <w:ind w:firstLine="420" w:firstLineChars="0"/>
      </w:pPr>
      <w:r>
        <w:rPr>
          <w:rFonts w:ascii="Symbol" w:hAnsi="Symbol" w:eastAsia="Symbol" w:cs="Symbol"/>
          <w:sz w:val="24"/>
        </w:rPr>
        <w:t>·</w:t>
      </w:r>
      <w:r>
        <w:rPr>
          <w:rFonts w:hint="eastAsia" w:ascii="宋体" w:hAnsi="宋体" w:eastAsia="宋体" w:cs="宋体"/>
          <w:sz w:val="24"/>
        </w:rPr>
        <w:t xml:space="preserve">  </w:t>
      </w:r>
      <w:r>
        <w:rPr>
          <w:rStyle w:val="13"/>
        </w:rPr>
        <w:t>第一年收益率 (rtn1y)</w:t>
      </w:r>
      <w:r>
        <w:t>：收益率集中在接近0的区域，右尾较长。这表明大多数公司的年收益率接近于0，但存在少数公司收益率较高。</w:t>
      </w:r>
    </w:p>
    <w:p w14:paraId="5882AD8D">
      <w:pPr>
        <w:keepNext w:val="0"/>
        <w:keepLines w:val="0"/>
        <w:widowControl/>
        <w:suppressLineNumbers w:val="0"/>
        <w:ind w:firstLine="420" w:firstLineChars="0"/>
      </w:pPr>
      <w:r>
        <w:rPr>
          <w:rFonts w:hint="default" w:ascii="Symbol" w:hAnsi="Symbol" w:eastAsia="Symbol" w:cs="Symbol"/>
          <w:sz w:val="24"/>
        </w:rPr>
        <w:t>·</w:t>
      </w:r>
      <w:r>
        <w:rPr>
          <w:rFonts w:hint="eastAsia" w:ascii="宋体" w:hAnsi="宋体" w:eastAsia="宋体" w:cs="宋体"/>
          <w:sz w:val="24"/>
        </w:rPr>
        <w:t xml:space="preserve">  </w:t>
      </w:r>
      <w:r>
        <w:rPr>
          <w:rStyle w:val="13"/>
        </w:rPr>
        <w:t>第二年收益率 (rtn2y)</w:t>
      </w:r>
      <w:r>
        <w:t>：收益率也集中在接近0的区域，但分布更加集中，尾部较短。这表明大多数公司的两年收益率变化较小，市场波动趋于稳定。</w:t>
      </w:r>
      <w:bookmarkEnd w:id="35"/>
    </w:p>
    <w:p w14:paraId="7FA1D2CC">
      <w:pPr>
        <w:jc w:val="center"/>
      </w:pPr>
      <w:r>
        <w:drawing>
          <wp:inline distT="0" distB="0" distL="114300" distR="114300">
            <wp:extent cx="4739640" cy="3718560"/>
            <wp:effectExtent l="0" t="0" r="10160" b="254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4"/>
                    <a:stretch>
                      <a:fillRect/>
                    </a:stretch>
                  </pic:blipFill>
                  <pic:spPr>
                    <a:xfrm>
                      <a:off x="0" y="0"/>
                      <a:ext cx="4739640" cy="3718560"/>
                    </a:xfrm>
                    <a:prstGeom prst="rect">
                      <a:avLst/>
                    </a:prstGeom>
                    <a:noFill/>
                    <a:ln>
                      <a:noFill/>
                    </a:ln>
                  </pic:spPr>
                </pic:pic>
              </a:graphicData>
            </a:graphic>
          </wp:inline>
        </w:drawing>
      </w:r>
    </w:p>
    <w:bookmarkEnd w:id="33"/>
    <w:p w14:paraId="03543D23">
      <w:pPr>
        <w:numPr>
          <w:ilvl w:val="0"/>
          <w:numId w:val="5"/>
        </w:numPr>
        <w:ind w:firstLine="420" w:firstLineChars="0"/>
        <w:rPr>
          <w:rFonts w:hint="eastAsia"/>
          <w:b/>
          <w:bCs/>
          <w:lang w:val="en-US" w:eastAsia="zh-CN"/>
        </w:rPr>
      </w:pPr>
      <w:bookmarkStart w:id="37" w:name="OLE_LINK23"/>
      <w:r>
        <w:rPr>
          <w:rFonts w:hint="eastAsia"/>
          <w:b/>
          <w:bCs/>
          <w:lang w:val="en-US" w:eastAsia="zh-CN"/>
        </w:rPr>
        <w:t>模</w:t>
      </w:r>
      <w:bookmarkEnd w:id="37"/>
      <w:bookmarkStart w:id="38" w:name="OLE_LINK24"/>
      <w:r>
        <w:rPr>
          <w:rFonts w:hint="eastAsia"/>
          <w:b/>
          <w:bCs/>
          <w:lang w:val="en-US" w:eastAsia="zh-CN"/>
        </w:rPr>
        <w:t>型对不同年份收益率</w:t>
      </w:r>
      <w:bookmarkEnd w:id="38"/>
      <w:r>
        <w:rPr>
          <w:rFonts w:hint="eastAsia"/>
          <w:b/>
          <w:bCs/>
          <w:lang w:val="en-US" w:eastAsia="zh-CN"/>
        </w:rPr>
        <w:t>的预测性能</w:t>
      </w:r>
    </w:p>
    <w:p w14:paraId="44D1CAB9">
      <w:pPr>
        <w:ind w:firstLine="420" w:firstLineChars="0"/>
        <w:rPr>
          <w:rFonts w:hint="eastAsia"/>
          <w:lang w:val="en-US" w:eastAsia="zh-CN"/>
        </w:rPr>
      </w:pPr>
      <w:r>
        <w:rPr>
          <w:rFonts w:hint="eastAsia"/>
          <w:b/>
          <w:bCs/>
          <w:lang w:val="en-US" w:eastAsia="zh-CN"/>
        </w:rPr>
        <w:t>第一年预测性能差异：</w:t>
      </w:r>
      <w:r>
        <w:rPr>
          <w:rFonts w:hint="eastAsia"/>
          <w:lang w:val="en-US" w:eastAsia="zh-CN"/>
        </w:rPr>
        <w:t>由于第一年收益率分布具有较长的右尾，市场波动较大，这种波动性增加了预测的难度。传统的文本向量化方法（如 Bag of Words 和 TF-IDF）在捕捉这种复杂的非线性关系时表现较差，而语义模型（如 Word2Vec 和 Doc2Vec）由于其更强的语义理解能力，表现相对更好。</w:t>
      </w:r>
    </w:p>
    <w:p w14:paraId="08C7A7F8">
      <w:pPr>
        <w:ind w:firstLine="420" w:firstLineChars="0"/>
        <w:rPr>
          <w:rFonts w:hint="eastAsia"/>
          <w:lang w:val="en-US" w:eastAsia="zh-CN"/>
        </w:rPr>
      </w:pPr>
      <w:bookmarkStart w:id="39" w:name="OLE_LINK42"/>
      <w:r>
        <w:rPr>
          <w:rFonts w:hint="eastAsia"/>
          <w:b/>
          <w:bCs/>
          <w:lang w:val="en-US" w:eastAsia="zh-CN"/>
        </w:rPr>
        <w:t>第二年预测性能提高：</w:t>
      </w:r>
      <w:bookmarkEnd w:id="39"/>
      <w:r>
        <w:rPr>
          <w:rFonts w:hint="eastAsia"/>
          <w:lang w:val="en-US" w:eastAsia="zh-CN"/>
        </w:rPr>
        <w:t>两年后的收益率分布更加集中且尾部较短，表明市场的波动性减少。这可能是由于市场的长期趋势变得更加稳定，导致模型在第二年预测时面临更简单的模式。这种情况有利于所有模型的预测性能提升，尤其是那些能够捕捉长期趋势的模型（如 Doc2Vec 和 Word2Vec）。</w:t>
      </w:r>
    </w:p>
    <w:p w14:paraId="7F31D2CE">
      <w:pPr>
        <w:numPr>
          <w:ilvl w:val="0"/>
          <w:numId w:val="5"/>
        </w:numPr>
        <w:ind w:firstLine="420" w:firstLineChars="0"/>
        <w:rPr>
          <w:rFonts w:hint="eastAsia"/>
          <w:b/>
          <w:bCs/>
          <w:lang w:val="en-US" w:eastAsia="zh-CN"/>
        </w:rPr>
      </w:pPr>
      <w:r>
        <w:rPr>
          <w:rFonts w:hint="eastAsia"/>
          <w:b/>
          <w:bCs/>
          <w:lang w:val="en-US" w:eastAsia="zh-CN"/>
        </w:rPr>
        <w:t>收益率分布对模型预测性能的影响</w:t>
      </w:r>
    </w:p>
    <w:p w14:paraId="0B906E8C">
      <w:pPr>
        <w:ind w:firstLine="420" w:firstLineChars="0"/>
        <w:rPr>
          <w:rFonts w:hint="eastAsia"/>
          <w:lang w:val="en-US" w:eastAsia="zh-CN"/>
        </w:rPr>
      </w:pPr>
      <w:bookmarkStart w:id="40" w:name="OLE_LINK25"/>
      <w:r>
        <w:rPr>
          <w:rFonts w:hint="eastAsia"/>
          <w:b/>
          <w:bCs/>
          <w:lang w:val="en-US" w:eastAsia="zh-CN"/>
        </w:rPr>
        <w:t>Bag of Words 和 TF-IDF：</w:t>
      </w:r>
      <w:r>
        <w:rPr>
          <w:rFonts w:hint="eastAsia"/>
          <w:lang w:val="en-US" w:eastAsia="zh-CN"/>
        </w:rPr>
        <w:t>这些模型仅能捕捉词频信息，对复杂的市场波动（如第一年）无法有效建模，导致较高的MSE。对于更稳定的第二年收益率，这些模型表现有所提升，但仍然受到其固有限制的影响。</w:t>
      </w:r>
    </w:p>
    <w:bookmarkEnd w:id="40"/>
    <w:p w14:paraId="5A2F82CB">
      <w:pPr>
        <w:ind w:firstLine="420" w:firstLineChars="0"/>
        <w:rPr>
          <w:rFonts w:hint="eastAsia"/>
          <w:lang w:val="en-US" w:eastAsia="zh-CN"/>
        </w:rPr>
      </w:pPr>
      <w:bookmarkStart w:id="41" w:name="OLE_LINK43"/>
      <w:bookmarkStart w:id="42" w:name="OLE_LINK26"/>
      <w:r>
        <w:rPr>
          <w:rFonts w:hint="eastAsia"/>
          <w:b/>
          <w:bCs/>
          <w:lang w:val="en-US" w:eastAsia="zh-CN"/>
        </w:rPr>
        <w:t>Doc2Vec 和 Word2Vec：</w:t>
      </w:r>
      <w:bookmarkEnd w:id="41"/>
      <w:r>
        <w:rPr>
          <w:rFonts w:hint="eastAsia"/>
          <w:lang w:val="en-US" w:eastAsia="zh-CN"/>
        </w:rPr>
        <w:t>由于它们能够捕捉到文本中的语义信息和长期趋势，尤其适用于处理复杂和非线性的数据。因此，在市场波动较大的第一年预测中表现相对更好，而在第二年更加稳定的环境下，表现进一步提升。</w:t>
      </w:r>
    </w:p>
    <w:bookmarkEnd w:id="42"/>
    <w:p w14:paraId="6AD4784C">
      <w:pPr>
        <w:numPr>
          <w:ilvl w:val="0"/>
          <w:numId w:val="5"/>
        </w:numPr>
        <w:ind w:firstLine="420" w:firstLineChars="0"/>
        <w:rPr>
          <w:rFonts w:hint="eastAsia"/>
          <w:b/>
          <w:bCs/>
          <w:lang w:val="en-US" w:eastAsia="zh-CN"/>
        </w:rPr>
      </w:pPr>
      <w:r>
        <w:rPr>
          <w:rFonts w:hint="eastAsia"/>
          <w:b/>
          <w:bCs/>
          <w:lang w:val="en-US" w:eastAsia="zh-CN"/>
        </w:rPr>
        <w:t>数据本身的影响</w:t>
      </w:r>
    </w:p>
    <w:p w14:paraId="28D81BF1">
      <w:pPr>
        <w:numPr>
          <w:ilvl w:val="0"/>
          <w:numId w:val="0"/>
        </w:numPr>
        <w:ind w:firstLine="420" w:firstLineChars="0"/>
        <w:rPr>
          <w:rFonts w:hint="eastAsia"/>
          <w:lang w:val="en-US" w:eastAsia="zh-CN"/>
        </w:rPr>
      </w:pPr>
      <w:bookmarkStart w:id="43" w:name="OLE_LINK44"/>
      <w:r>
        <w:rPr>
          <w:rFonts w:hint="eastAsia"/>
          <w:b/>
          <w:bCs/>
          <w:lang w:val="en-US" w:eastAsia="zh-CN"/>
        </w:rPr>
        <w:t>市场特征和数据周期：</w:t>
      </w:r>
      <w:bookmarkEnd w:id="43"/>
      <w:r>
        <w:rPr>
          <w:rFonts w:hint="eastAsia"/>
          <w:lang w:val="en-US" w:eastAsia="zh-CN"/>
        </w:rPr>
        <w:t>从收益率的分布来看，第一年可能存在更大的市场波动或不确定性因素，而第二年市场则趋于平稳。这种波动性和不确定性影响了模型的预测难度，也直接导致了模型预测性能的差异。</w:t>
      </w:r>
    </w:p>
    <w:p w14:paraId="4680AA66">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B33195"/>
    <w:multiLevelType w:val="singleLevel"/>
    <w:tmpl w:val="B5B33195"/>
    <w:lvl w:ilvl="0" w:tentative="0">
      <w:start w:val="1"/>
      <w:numFmt w:val="chineseCounting"/>
      <w:suff w:val="nothing"/>
      <w:lvlText w:val="（%1）"/>
      <w:lvlJc w:val="left"/>
      <w:rPr>
        <w:rFonts w:hint="eastAsia"/>
      </w:rPr>
    </w:lvl>
  </w:abstractNum>
  <w:abstractNum w:abstractNumId="1">
    <w:nsid w:val="FB34CB75"/>
    <w:multiLevelType w:val="singleLevel"/>
    <w:tmpl w:val="FB34CB75"/>
    <w:lvl w:ilvl="0" w:tentative="0">
      <w:start w:val="1"/>
      <w:numFmt w:val="decimal"/>
      <w:suff w:val="nothing"/>
      <w:lvlText w:val="%1、"/>
      <w:lvlJc w:val="left"/>
    </w:lvl>
  </w:abstractNum>
  <w:abstractNum w:abstractNumId="2">
    <w:nsid w:val="121A3611"/>
    <w:multiLevelType w:val="singleLevel"/>
    <w:tmpl w:val="121A3611"/>
    <w:lvl w:ilvl="0" w:tentative="0">
      <w:start w:val="1"/>
      <w:numFmt w:val="decimal"/>
      <w:suff w:val="space"/>
      <w:lvlText w:val="%1."/>
      <w:lvlJc w:val="left"/>
    </w:lvl>
  </w:abstractNum>
  <w:abstractNum w:abstractNumId="3">
    <w:nsid w:val="31FD875D"/>
    <w:multiLevelType w:val="singleLevel"/>
    <w:tmpl w:val="31FD875D"/>
    <w:lvl w:ilvl="0" w:tentative="0">
      <w:start w:val="1"/>
      <w:numFmt w:val="chineseCounting"/>
      <w:suff w:val="nothing"/>
      <w:lvlText w:val="（%1）"/>
      <w:lvlJc w:val="left"/>
      <w:rPr>
        <w:rFonts w:hint="eastAsia"/>
      </w:rPr>
    </w:lvl>
  </w:abstractNum>
  <w:abstractNum w:abstractNumId="4">
    <w:nsid w:val="5C25A19F"/>
    <w:multiLevelType w:val="singleLevel"/>
    <w:tmpl w:val="5C25A19F"/>
    <w:lvl w:ilvl="0" w:tentative="0">
      <w:start w:val="1"/>
      <w:numFmt w:val="decimal"/>
      <w:suff w:val="space"/>
      <w:lvlText w:val="%1."/>
      <w:lvlJc w:val="left"/>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Q3NjQxYmZmN2ZkODIxYWNiNTEzMzQyMTZmNzQ1MmMifQ=="/>
  </w:docVars>
  <w:rsids>
    <w:rsidRoot w:val="00000000"/>
    <w:rsid w:val="00303F39"/>
    <w:rsid w:val="02382E6E"/>
    <w:rsid w:val="03571338"/>
    <w:rsid w:val="04A65742"/>
    <w:rsid w:val="0A757080"/>
    <w:rsid w:val="0FA45DAA"/>
    <w:rsid w:val="1021564D"/>
    <w:rsid w:val="107517B6"/>
    <w:rsid w:val="10D4446D"/>
    <w:rsid w:val="257D4C7B"/>
    <w:rsid w:val="2A46613C"/>
    <w:rsid w:val="2B4D3342"/>
    <w:rsid w:val="2BB5131F"/>
    <w:rsid w:val="31F516A9"/>
    <w:rsid w:val="37933088"/>
    <w:rsid w:val="3A353BF0"/>
    <w:rsid w:val="41D47F12"/>
    <w:rsid w:val="45666B66"/>
    <w:rsid w:val="45D95AA6"/>
    <w:rsid w:val="468E4AE3"/>
    <w:rsid w:val="4C2537F3"/>
    <w:rsid w:val="4FFE255B"/>
    <w:rsid w:val="546136CF"/>
    <w:rsid w:val="5A6E5C7B"/>
    <w:rsid w:val="5B49614A"/>
    <w:rsid w:val="5E1658FE"/>
    <w:rsid w:val="6593107F"/>
    <w:rsid w:val="6C846A68"/>
    <w:rsid w:val="6CC30B95"/>
    <w:rsid w:val="6FD827A7"/>
    <w:rsid w:val="73530F9E"/>
    <w:rsid w:val="791233E7"/>
    <w:rsid w:val="7CBB5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link w:val="15"/>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2">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sz w:val="20"/>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Hyperlink"/>
    <w:basedOn w:val="12"/>
    <w:qFormat/>
    <w:uiPriority w:val="0"/>
    <w:rPr>
      <w:color w:val="0000FF"/>
      <w:u w:val="single"/>
    </w:rPr>
  </w:style>
  <w:style w:type="character" w:customStyle="1" w:styleId="15">
    <w:name w:val="标题 6 Char"/>
    <w:link w:val="7"/>
    <w:uiPriority w:val="0"/>
    <w:rPr>
      <w:rFonts w:ascii="Arial" w:hAnsi="Arial" w:eastAsia="黑体"/>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6240</Words>
  <Characters>7808</Characters>
  <Lines>0</Lines>
  <Paragraphs>0</Paragraphs>
  <TotalTime>0</TotalTime>
  <ScaleCrop>false</ScaleCrop>
  <LinksUpToDate>false</LinksUpToDate>
  <CharactersWithSpaces>7925</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2024-08-29T12:11:00Z</dcterms:created>
  <dc:creator>www</dc:creator>
  <cp:lastModifiedBy>武晋荣</cp:lastModifiedBy>
  <dcterms:modified xsi:type="dcterms:W3CDTF">2024-08-31T03:45:42Z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02CB258CA69F4D0290C52DC5E2E4BE63_13</vt:lpwstr>
  </property>
</Properties>
</file>