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line="360" w:lineRule="auto" w:after="0"/>
      </w:pPr>
      <w:r>
        <w:rPr>
          <w:rFonts w:ascii="Times New Roman" w:hAnsi="Times New Roman" w:cs="Times New Roman"/>
          <w:sz w:val="28"/>
          <w:szCs w:val="28"/>
          <w:b/>
        </w:rPr>
        <w:t xml:space="preserve">СПИСОК ЛИТЕРАТУРЫ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1. Вендров, А. М. Проектирование программного обеспечения экономических информационных систем / А. М. Вендров. – М.: Финансы и статистика, 2020. – 544 с.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2. Гвоздева, В. А. Основы построения автоматизированных информационных систем : учебник / В. А. Гвоздева, И. Ю. Лаврентьева. – М.: ФОРУМ, 2020. – 320 с.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3. Кобелев, О. А. Электронная коммерция : учебное пособие / О. А. Кобелев. – М.: Дашков и К, 2021. – 684 с.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4. Кузнецов, С. Д. Базы данных: языки и модели : учебное пособие / С. Д. Кузнецов. – М.: БИНОМ, 2021. – 720 с.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5. Городнова, Н. В. Электронная торговля в России и за рубежом: анализ динамики, проблемы регулирования и перспективы / Н. В. Городнова // Journal of Economics, Entrepreneurship and Law. – 2024. – Июль. – ISSN 2222-534X. – Режим доступа: https://cyberleninka.ru/article/n/elektronnaya-torgovlya-v-rossii-i-za-rubezhom-analiz-dinamiki-problemy-regulirovaniya-i-perspektivy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6. Дроздов, С. А. Особенности проектирования серверного и клиентского программного обеспечения web-сайта с использованием REST-архитектуры / С. А. Дроздов, В. Е. Луканина [Электронный ресурс]. – Режим доступа: https://cyberleninka.ru/article/n/osobennosti-proektirovaniya-servernogo-i-klientskogo-programmnogo-obespecheniya-web-sayta-s-ispolzovaniem-rest-arhitektury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7.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2018. – 32 с.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8. ГОСТ 12.0.003-2015. Система стандартов безопасности труда. Опасные и вредные производственные факторы. – М.: Стандартинформ, 2016. – 12 с.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9. СанПиН 1.2.3685-21. Гигиенические нормативы и требования к обеспечению безопасности и (или) безвредности для человека факторов среды обитания. – М.: Роспотребнадзор, 2021. – 480 с.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10. Ashmanov &amp; Partners. Рынок e-commerce в России: анализ, прогнозы и потенциал для бизнеса [Электронный ресурс]. – Режим доступа: https://www.ashmanov.com/education/articles/rynok-e-commerce-v-rossii-analiz-prognozy-i-potentsial-dlya-biznesa/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11. Data Insight. Тренды eCommerce и ePharma 2024–2025 [Электронный ресурс]. – Режим доступа: https://datainsight.ru/trends-ecom-epharma2025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12. MDN Web Docs. HTTP cookies [Электронный ресурс]. – Режим доступа: https://developer.mozilla.org/en-US/docs/Web/HTTP/Guides/Cookies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13. MDN Web Docs. Обзор клиент-серверного взаимодействия [Электронный ресурс]. – Режим доступа: https://developer.mozilla.org/ru/docs/Learn_web_development/Extensions/Server-side/First_steps/Client-Server_overview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14. Next.js. Documentation [Электронный ресурс]. – Режим доступа: https://nextjs.org/docs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15. OWASP Foundation. OWASP Top Ten [Электронный ресурс]. – Режим доступа: https://owasp.org/www-project-top-ten/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16. PostgreSQL. Documentation [Электронный ресурс]. – Режим доступа: https://www.postgresql.org/docs/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17. Prisma. Documentation [Электронный ресурс]. – Режим доступа: https://www.prisma.io/docs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18. React. Reference Overview [Электронный ресурс]. – Режим доступа: https://react.dev/reference/react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19. TypeScript. Documentation [Электронный ресурс]. – Режим доступа: https://www.typescriptlang.org/docs/ (дата обращения: 27.05.2026).</w:t>
      </w:r>
    </w:p>
    <w:p>
      <w:pPr>
        <w:jc w:val="both"/>
        <w:ind w:firstLine="708"/>
        <w:spacing w:line="360" w:lineRule="auto" w:after="0"/>
      </w:pPr>
      <w:r>
        <w:rPr>
          <w:rFonts w:ascii="Times New Roman" w:hAnsi="Times New Roman" w:cs="Times New Roman"/>
          <w:sz w:val="28"/>
          <w:szCs w:val="28"/>
        </w:rPr>
        <w:t xml:space="preserve">20. Яков и Партнёры. Развитие электронной коммерции в России [Электронный ресурс]. – Режим доступа: https://yakovpartners.ru/publications/ecom/ (дата обращения: 27.05.2026).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line="360" w:lineRule="auto" w:after="0"/>
      <w:jc w:val="both"/>
    </w:pPr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/>
</file>