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ageBreakBefore w:val="0"/>
        <w:spacing w:before="160" w:after="240"/>
        <w:jc w:val="center"/>
        <w:pBdr>
          <w:top w:val="single" w:sz="24" w:space="8" w:color="000000"/>
          <w:bottom w:val="single" w:sz="6" w:space="8" w:color="000000"/>
        </w:pBdr>
      </w:pPr>
      <w:r>
        <w:rPr>
          <w:rFonts w:ascii="Old Standard TT" w:hAnsi="Old Standard TT"/>
          <w:b/>
          <w:sz w:val="40"/>
        </w:rPr>
        <w:t>Certifying Behavior Without Hiding the Sandbox</w:t>
      </w:r>
    </w:p>
    <w:p>
      <w:pPr>
        <w:pageBreakBefore w:val="0"/>
        <w:spacing w:line="240" w:lineRule="auto" w:after="120"/>
        <w:jc w:val="center"/>
      </w:pPr>
      <w:r>
        <w:rPr>
          <w:rFonts w:ascii="Old Standard TT" w:hAnsi="Old Standard TT"/>
          <w:sz w:val="22"/>
        </w:rPr>
        <w:t>Li Quan (author confirmation pending)</w:t>
        <w:br/>
        <w:t>Affiliation to be confirmed</w:t>
      </w:r>
    </w:p>
    <w:p>
      <w:pPr>
        <w:pageBreakBefore w:val="0"/>
        <w:spacing w:line="240" w:lineRule="auto" w:after="120"/>
        <w:jc w:val="center"/>
      </w:pPr>
      <w:r>
        <w:rPr>
          <w:rFonts w:ascii="Old Standard TT" w:hAnsi="Old Standard TT"/>
          <w:sz w:val="20"/>
        </w:rPr>
        <w:t>With Apart Research</w:t>
        <w:br/>
        <w:t>AI Incident Response Sprint, September 2026</w:t>
      </w:r>
    </w:p>
    <w:p>
      <w:pPr>
        <w:pageBreakBefore w:val="0"/>
        <w:spacing w:after="80"/>
        <w:jc w:val="center"/>
      </w:pPr>
      <w:r>
        <w:rPr>
          <w:rFonts w:ascii="Old Standard TT" w:hAnsi="Old Standard TT"/>
          <w:b/>
          <w:sz w:val="26"/>
        </w:rPr>
        <w:t>Abstract</w:t>
      </w:r>
    </w:p>
    <w:p>
      <w:pPr>
        <w:spacing w:line="269" w:lineRule="auto"/>
        <w:ind w:left="317" w:right="317"/>
        <w:jc w:val="both"/>
      </w:pPr>
      <w:r>
        <w:rPr>
          <w:rFonts w:ascii="Old Standard TT" w:hAnsi="Old Standard TT"/>
          <w:sz w:val="21"/>
        </w:rPr>
        <w:t>Recognizing a sandbox does not, by itself, invalidate every behavioral evaluation. We study which claims about a specified deployment behavior remain identifiable from contained interactions, and when missing information makes certification impossible. A finite interactive model separates the time of a behavioral decision from subsequent environmental evidence. A sharp identification interval weights missing histories by the behavior that can still change. Conditional certification results convert sufficient evidence into an error controlled stopping rule. We implement two local causal environments, a coverage experiment, and a robustness test for evidence accumulation. All 960 scripted episodes completed; 375 population cases and 600 exact checks passed. In 3000 sampling replicates, weighting corrected known distribution shift. Under a specified perturbation, nominal false certification rose to 0.998, while correction kept it below 0.05. No language model experiment is reported. These results concern declared synthetic models, not universal sandbox invisibility or demonstrated safety in any actual deployment.</w:t>
      </w:r>
    </w:p>
    <w:p>
      <w:pPr>
        <w:pStyle w:val="Heading2"/>
        <w:pageBreakBefore w:val="0"/>
      </w:pPr>
      <w:r>
        <w:rPr>
          <w:rFonts w:ascii="Old Standard TT" w:hAnsi="Old Standard TT"/>
        </w:rPr>
        <w:t>1. Introduction</w:t>
      </w:r>
    </w:p>
    <w:p>
      <w:pPr>
        <w:pageBreakBefore w:val="0"/>
        <w:jc w:val="both"/>
      </w:pPr>
      <w:r>
        <w:rPr>
          <w:rFonts w:ascii="Old Standard TT" w:hAnsi="Old Standard TT"/>
        </w:rPr>
        <w:t>A contained evaluation can change what follows an agent's action. A successful write may disappear after a session change; two services may disagree about its consequences. Such differences may reveal a simulated condition. But identifying a sandbox and invalidating a behavioral claim are different events. A diagnostic revealed after a committed decision cannot change that decision. A missing prerequisite revealed before a later decision can instead leave that behavior unconstrained.</w:t>
      </w:r>
    </w:p>
    <w:p>
      <w:pPr>
        <w:pageBreakBefore w:val="0"/>
        <w:jc w:val="both"/>
      </w:pPr>
      <w:r>
        <w:rPr>
          <w:rFonts w:ascii="Old Standard TT" w:hAnsi="Old Standard TT"/>
        </w:rPr>
        <w:t>We ask which specified deployment behaviors remain identifiable from permitted safe interactions, even when the environment is detectable. This Open Track project provides an audit artifact for evaluating evidence, not a containment implementation. In incident response, a clean replay can support a narrowly defined claim only after its information boundary, logging, and target decision are specified. More clean runs do not replace missing evidence.</w:t>
      </w:r>
    </w:p>
    <w:p>
      <w:pPr>
        <w:pageBreakBefore w:val="0"/>
        <w:jc w:val="both"/>
      </w:pPr>
      <w:r>
        <w:rPr>
          <w:rFonts w:ascii="Old Standard TT" w:hAnsi="Old Standard TT"/>
        </w:rPr>
        <w:t xml:space="preserve">Our contributions are </w:t>
      </w:r>
      <w:r>
        <w:rPr>
          <w:rFonts w:ascii="Old Standard TT" w:hAnsi="Old Standard TT"/>
          <w:b/>
        </w:rPr>
        <w:t>(1)</w:t>
      </w:r>
      <w:r>
        <w:rPr>
          <w:rFonts w:ascii="Old Standard TT" w:hAnsi="Old Standard TT"/>
        </w:rPr>
        <w:t xml:space="preserve"> a target-sensitive identification boundary, </w:t>
      </w:r>
      <w:r>
        <w:rPr>
          <w:rFonts w:ascii="Old Standard TT" w:hAnsi="Old Standard TT"/>
          <w:b/>
        </w:rPr>
        <w:t>(2)</w:t>
      </w:r>
      <w:r>
        <w:rPr>
          <w:rFonts w:ascii="Old Standard TT" w:hAnsi="Old Standard TT"/>
        </w:rPr>
        <w:t xml:space="preserve"> conditional certification rules with explicit failure modes, and </w:t>
      </w:r>
      <w:r>
        <w:rPr>
          <w:rFonts w:ascii="Old Standard TT" w:hAnsi="Old Standard TT"/>
          <w:b/>
        </w:rPr>
        <w:t>(3)</w:t>
      </w:r>
      <w:r>
        <w:rPr>
          <w:rFonts w:ascii="Old Standard TT" w:hAnsi="Old Standard TT"/>
        </w:rPr>
        <w:t xml:space="preserve"> an executable local audit separating timing, coverage, and statistical validity. The main experimental finding is a synthetic robustness failure and its correction, not a measured LLM tendency. The key threat to validity is transport: the deployment reference is supplied to the mathematics, not learned from the local benchmark. The release reproduces the saved experiments and audits their records; reproduction does not add independent observations.</w:t>
      </w:r>
    </w:p>
    <w:p>
      <w:pPr>
        <w:pStyle w:val="Heading2"/>
        <w:pageBreakBefore/>
      </w:pPr>
      <w:r>
        <w:rPr>
          <w:rFonts w:ascii="Old Standard TT" w:hAnsi="Old Standard TT"/>
        </w:rPr>
        <w:t>2. Related Work</w:t>
      </w:r>
    </w:p>
    <w:p>
      <w:pPr>
        <w:pageBreakBefore w:val="0"/>
        <w:jc w:val="both"/>
      </w:pPr>
      <w:r>
        <w:rPr>
          <w:rFonts w:ascii="Old Standard TT" w:hAnsi="Old Standard TT"/>
          <w:b/>
        </w:rPr>
        <w:t>Sandbox detection.</w:t>
      </w:r>
      <w:r>
        <w:rPr>
          <w:rFonts w:ascii="Old Standard TT" w:hAnsi="Old Standard TT"/>
        </w:rPr>
        <w:t xml:space="preserve"> Penumbra defines a bounded interactive distinguishing game [1, Section 2, Definition 1, p. 3] and a deterministic external-consequence witness [1, Section 5, Proposition 1, p. 7]. The latter requires an accessible independent verification channel. We instead ask whether differences leave a specified action probability unidentified. A coherent local replica refutes an unrestricted containment trilemma; substrate detectability alone does not prove lifecycle awareness.</w:t>
      </w:r>
    </w:p>
    <w:p>
      <w:pPr>
        <w:pageBreakBefore w:val="0"/>
        <w:jc w:val="both"/>
      </w:pPr>
      <w:r>
        <w:rPr>
          <w:rFonts w:ascii="Old Standard TT" w:hAnsi="Old Standard TT"/>
          <w:b/>
        </w:rPr>
        <w:t>Awareness and behavior.</w:t>
      </w:r>
      <w:r>
        <w:rPr>
          <w:rFonts w:ascii="Old Standard TT" w:hAnsi="Old Standard TT"/>
        </w:rPr>
        <w:t xml:space="preserve"> SAD separates self-knowledge, inference, and action [2, Section 2.1, p. 4]. Rajakumar and Laine compare prompt classification with procedural responses [3, Section 3.2, pp. 4-5]. Sandbagging work distinguishes demonstrated capability from spontaneous propensity [4, pp. 2-3]. We likewise separate an available signal, elicited probing, a reported probability, and an observable choice. Explanations are not faithful private-state measurements by assumption.</w:t>
      </w:r>
    </w:p>
    <w:p>
      <w:pPr>
        <w:pageBreakBefore w:val="0"/>
        <w:jc w:val="both"/>
      </w:pPr>
      <w:r>
        <w:rPr>
          <w:rFonts w:ascii="Old Standard TT" w:hAnsi="Old Standard TT"/>
          <w:b/>
        </w:rPr>
        <w:t>Strategic evaluation and control.</w:t>
      </w:r>
      <w:r>
        <w:rPr>
          <w:rFonts w:ascii="Old Standard TT" w:hAnsi="Old Standard TT"/>
        </w:rPr>
        <w:t xml:space="preserve"> Deployment-specific signals can defeat repeated testing in Kovařík et al. [5, Section 3.1.4, pp. 7-8]. Korbak et al. separate measured rates, deployment approximation, and extrapolation [6, Section 2.7, pp. 7-8]. We study a conditional statistical subclaim, not a complete safety case.</w:t>
      </w:r>
    </w:p>
    <w:p>
      <w:pPr>
        <w:pageBreakBefore w:val="0"/>
        <w:jc w:val="both"/>
      </w:pPr>
      <w:r>
        <w:rPr>
          <w:rFonts w:ascii="Old Standard TT" w:hAnsi="Old Standard TT"/>
          <w:b/>
        </w:rPr>
        <w:t>Statistical foundations.</w:t>
      </w:r>
      <w:r>
        <w:rPr>
          <w:rFonts w:ascii="Old Standard TT" w:hAnsi="Old Standard TT"/>
        </w:rPr>
        <w:t xml:space="preserve"> Composite e-testing [7, Section 3], adaptive information bounds [8, Lemma 1], interactive estimation [9, Appendix E.2], and sequence-form policies [10, Section 2] are established. Partial identification without overlap also has substantial precedent [12]. Our scoped contribution is the target-specific safe-evidence contract and executable counterexamples, not a new general testing or missing-support principle. Priority for the combined formulation still requires independent review.</w:t>
      </w:r>
    </w:p>
    <w:p>
      <w:pPr>
        <w:pStyle w:val="Heading2"/>
        <w:pageBreakBefore w:val="0"/>
      </w:pPr>
      <w:r>
        <w:rPr>
          <w:rFonts w:ascii="Old Standard TT" w:hAnsi="Old Standard TT"/>
        </w:rPr>
        <w:t>3. Methods</w:t>
      </w:r>
    </w:p>
    <w:p>
      <w:pPr>
        <w:pStyle w:val="Heading3"/>
        <w:pageBreakBefore w:val="0"/>
      </w:pPr>
      <w:r>
        <w:rPr>
          <w:rFonts w:ascii="Old Standard TT" w:hAnsi="Old Standard TT"/>
        </w:rPr>
        <w:t>3.1 Model, boundary, and observable target</w:t>
      </w:r>
    </w:p>
    <w:p>
      <w:pPr>
        <w:pageBreakBefore w:val="0"/>
        <w:jc w:val="both"/>
      </w:pPr>
      <w:r>
        <w:rPr>
          <w:rFonts w:ascii="Old Standard TT" w:hAnsi="Old Standard TT"/>
        </w:rPr>
        <w:t>One run is a finite action-observation tree. Histories include all world-correlated inputs: prompts, exposed timing, errors, session state, and service responses. Private randomness and within-run memory are allowed. A realization plan x records action probabilities through linear flow constraints. Legal behavioral mixtures form a compact convex set X; neural-network parameters need not be convex.</w:t>
      </w:r>
    </w:p>
    <w:p>
      <w:pPr>
        <w:spacing w:before="80" w:after="140"/>
        <w:jc w:val="center"/>
      </w:pPr>
      <m:oMath>
        <m:sSub>
          <m:e>
            <m:r>
              <m:t>p</m:t>
            </m:r>
          </m:e>
          <m:sub>
            <m:r>
              <m:t>j</m:t>
            </m:r>
          </m:sub>
        </m:sSub>
        <m:d>
          <m:dPr>
            <m:begChr m:val="("/>
            <m:endChr m:val=")"/>
            <m:sepChr m:val=""/>
            <m:grow/>
          </m:dPr>
          <m:e>
            <m:r>
              <m:t>x</m:t>
            </m:r>
          </m:e>
        </m:d>
        <m:r>
          <m:rPr>
            <m:sty m:val="p"/>
          </m:rPr>
          <m:t>=</m:t>
        </m:r>
        <m:sSub>
          <m:e>
            <m:r>
              <m:t>M</m:t>
            </m:r>
          </m:e>
          <m:sub>
            <m:r>
              <m:t>j</m:t>
            </m:r>
          </m:sub>
        </m:sSub>
        <m:r>
          <m:t>x</m:t>
        </m:r>
        <m:r>
          <m:rPr>
            <m:sty m:val="p"/>
          </m:rPr>
          <m:t>,</m:t>
        </m:r>
        <m:r>
          <m:t>  </m:t>
        </m:r>
        <m:r>
          <m:t>J</m:t>
        </m:r>
        <m:d>
          <m:dPr>
            <m:begChr m:val="("/>
            <m:endChr m:val=")"/>
            <m:sepChr m:val=""/>
            <m:grow/>
          </m:dPr>
          <m:e>
            <m:r>
              <m:t>x</m:t>
            </m:r>
          </m:e>
        </m:d>
        <m:r>
          <m:rPr>
            <m:sty m:val="p"/>
          </m:rPr>
          <m:t>=</m:t>
        </m:r>
        <m:sSup>
          <m:e>
            <m:r>
              <m:t>c</m:t>
            </m:r>
          </m:e>
          <m:sup>
            <m:r>
              <m:rPr>
                <m:sty m:val="p"/>
              </m:rPr>
              <m:t>⊤</m:t>
            </m:r>
          </m:sup>
        </m:sSup>
        <m:r>
          <m:t>x</m:t>
        </m:r>
        <m:r>
          <m:rPr>
            <m:sty m:val="p"/>
          </m:rPr>
          <m:t>∈</m:t>
        </m:r>
        <m:r>
          <m:t>[</m:t>
        </m:r>
        <m:r>
          <m:t>0</m:t>
        </m:r>
        <m:r>
          <m:rPr>
            <m:sty m:val="p"/>
          </m:rPr>
          <m:t>,</m:t>
        </m:r>
        <m:r>
          <m:t>1</m:t>
        </m:r>
        <m:r>
          <m:t>]</m:t>
        </m:r>
        <m:r>
          <m:rPr>
            <m:sty m:val="p"/>
          </m:rPr>
          <m:t>.</m:t>
        </m:r>
      </m:oMath>
    </w:p>
    <w:p>
      <w:pPr>
        <w:pageBreakBefore w:val="0"/>
        <w:jc w:val="both"/>
      </w:pPr>
      <w:r>
        <w:rPr>
          <w:rFonts w:ascii="Old Standard TT" w:hAnsi="Old Standard TT"/>
        </w:rPr>
        <w:t>Controller j is a complete safe interactive environment, not an isolated response. Its log law is specified above; the known deployment reference and specified behavior determine J. Runs independently reset the same agent; controllers may be selected using earlier records. Containment forbids unauthorized agent-caused transitions outside the declared local boundary. Our tools only mutate memory and never execute arbitrary code; this is not a hardened sandbox claim.</w:t>
      </w:r>
    </w:p>
    <w:p>
      <w:pPr>
        <w:pStyle w:val="Heading3"/>
        <w:pageBreakBefore/>
      </w:pPr>
      <w:r>
        <w:rPr>
          <w:rFonts w:ascii="Old Standard TT" w:hAnsi="Old Standard TT"/>
        </w:rPr>
        <w:t>3.2 Target timing and the identification boundary</w:t>
      </w:r>
    </w:p>
    <w:p>
      <w:pPr>
        <w:pageBreakBefore w:val="0"/>
        <w:jc w:val="both"/>
      </w:pPr>
      <w:r>
        <w:rPr>
          <w:rFonts w:ascii="Old Standard TT" w:hAnsi="Old Standard TT"/>
        </w:rPr>
        <w:t>Two agents are safe-audit equivalent if every allowed safe controller produces the same complete record law. Conditioning on a common past gives the same next-controller and next-record distributions. Induction extends equivalence to repeated adaptive audits. A differing deployment target for such a pair is not identifiable.</w:t>
      </w:r>
    </w:p>
    <w:p>
      <w:pPr>
        <w:pageBreakBefore w:val="0"/>
        <w:jc w:val="both"/>
      </w:pPr>
      <w:r>
        <w:rPr>
          <w:rFonts w:ascii="Old Standard TT" w:hAnsi="Old Standard TT"/>
        </w:rPr>
        <w:t xml:space="preserve">For complete histories and unrestricted finite behavioral policies, define the safe support R as histories with positive causal likelihood under at least one permitted safe controller, not merely those sampled so far. Let </w:t>
      </w:r>
      <m:oMath>
        <m:sSub>
          <m:e>
            <m:r>
              <m:t>μ</m:t>
            </m:r>
          </m:e>
          <m:sub>
            <m:r>
              <m:t>x</m:t>
            </m:r>
          </m:sub>
        </m:sSub>
        <m:d>
          <m:dPr>
            <m:begChr m:val="("/>
            <m:endChr m:val=")"/>
            <m:sepChr m:val=""/>
            <m:grow/>
          </m:dPr>
          <m:e>
            <m:r>
              <m:t>h</m:t>
            </m:r>
          </m:e>
        </m:d>
      </m:oMath>
      <w:r>
        <w:rPr>
          <w:rFonts w:ascii="Old Standard TT" w:hAnsi="Old Standard TT"/>
        </w:rPr>
        <w:t xml:space="preserve"> be the deployment probability of first leaving R at history h. Let L(h) and U(h) be the minimum and maximum subsequent target expectation over legal continuations. Let b be the target contribution from paths that never leave R. There are m possible first exits.</w:t>
      </w:r>
    </w:p>
    <w:p>
      <w:pPr>
        <w:pageBreakBefore w:val="0"/>
        <w:jc w:val="both"/>
      </w:pPr>
      <w:r>
        <w:rPr>
          <w:rFonts w:ascii="Old Standard TT" w:hAnsi="Old Standard TT"/>
          <w:b/>
        </w:rPr>
        <w:t>Proposition 1 (sharp target-sensitive interval).</w:t>
      </w:r>
      <w:r>
        <w:rPr>
          <w:rFonts w:ascii="Old Standard TT" w:hAnsi="Old Standard TT"/>
        </w:rPr>
        <w:t xml:space="preserve"> Under these full-history assumptions, deployment target values of all safe-audit-equivalent agents form exactly the interval</w:t>
      </w:r>
    </w:p>
    <w:p>
      <w:pPr>
        <w:spacing w:before="80" w:after="140"/>
        <w:jc w:val="center"/>
      </w:pPr>
      <m:oMath>
        <m:sSub>
          <m:e>
            <m:r>
              <m:rPr>
                <m:sty m:val="p"/>
                <m:scr m:val="script"/>
              </m:rPr>
              <m:t>I</m:t>
            </m:r>
          </m:e>
          <m:sub>
            <m:r>
              <m:rPr>
                <m:sty m:val="p"/>
              </m:rPr>
              <m:t>ℓ</m:t>
            </m:r>
          </m:sub>
        </m:sSub>
        <m:d>
          <m:dPr>
            <m:begChr m:val="("/>
            <m:endChr m:val=")"/>
            <m:sepChr m:val=""/>
            <m:grow/>
          </m:dPr>
          <m:e>
            <m:r>
              <m:t>x</m:t>
            </m:r>
          </m:e>
        </m:d>
        <m:r>
          <m:rPr>
            <m:sty m:val="p"/>
          </m:rPr>
          <m:t>=</m:t>
        </m:r>
        <m:r>
          <m:t>[</m:t>
        </m:r>
        <m:r>
          <m:t>b</m:t>
        </m:r>
        <m:r>
          <m:rPr>
            <m:sty m:val="p"/>
          </m:rPr>
          <m:t>+</m:t>
        </m:r>
        <m:nary>
          <m:naryPr>
            <m:chr m:val="∑"/>
            <m:limLoc m:val="undOvr"/>
            <m:subHide m:val="off"/>
            <m:supHide m:val="off"/>
          </m:naryPr>
          <m:sub>
            <m:r>
              <m:t>i</m:t>
            </m:r>
            <m:r>
              <m:rPr>
                <m:sty m:val="p"/>
              </m:rPr>
              <m:t>=</m:t>
            </m:r>
            <m:r>
              <m:t>1</m:t>
            </m:r>
          </m:sub>
          <m:sup>
            <m:r>
              <m:t>m</m:t>
            </m:r>
          </m:sup>
          <m:e>
            <m:sSub>
              <m:e>
                <m:r>
                  <m:t>μ</m:t>
                </m:r>
              </m:e>
              <m:sub>
                <m:r>
                  <m:t>x</m:t>
                </m:r>
              </m:sub>
            </m:sSub>
          </m:e>
        </m:nary>
        <m:d>
          <m:dPr>
            <m:begChr m:val="("/>
            <m:endChr m:val=")"/>
            <m:sepChr m:val=""/>
            <m:grow/>
          </m:dPr>
          <m:e>
            <m:sSub>
              <m:e>
                <m:r>
                  <m:t>h</m:t>
                </m:r>
              </m:e>
              <m:sub>
                <m:r>
                  <m:t>i</m:t>
                </m:r>
              </m:sub>
            </m:sSub>
          </m:e>
        </m:d>
        <m:r>
          <m:t>L</m:t>
        </m:r>
        <m:d>
          <m:dPr>
            <m:begChr m:val="("/>
            <m:endChr m:val=")"/>
            <m:sepChr m:val=""/>
            <m:grow/>
          </m:dPr>
          <m:e>
            <m:sSub>
              <m:e>
                <m:r>
                  <m:t>h</m:t>
                </m:r>
              </m:e>
              <m:sub>
                <m:r>
                  <m:t>i</m:t>
                </m:r>
              </m:sub>
            </m:sSub>
          </m:e>
        </m:d>
        <m:r>
          <m:rPr>
            <m:sty m:val="p"/>
          </m:rPr>
          <m:t>,</m:t>
        </m:r>
        <m:r>
          <m:t> </m:t>
        </m:r>
        <m:r>
          <m:t>b</m:t>
        </m:r>
        <m:r>
          <m:rPr>
            <m:sty m:val="p"/>
          </m:rPr>
          <m:t>+</m:t>
        </m:r>
        <m:nary>
          <m:naryPr>
            <m:chr m:val="∑"/>
            <m:limLoc m:val="undOvr"/>
            <m:subHide m:val="off"/>
            <m:supHide m:val="off"/>
          </m:naryPr>
          <m:sub>
            <m:r>
              <m:t>i</m:t>
            </m:r>
            <m:r>
              <m:rPr>
                <m:sty m:val="p"/>
              </m:rPr>
              <m:t>=</m:t>
            </m:r>
            <m:r>
              <m:t>1</m:t>
            </m:r>
          </m:sub>
          <m:sup>
            <m:r>
              <m:t>m</m:t>
            </m:r>
          </m:sup>
          <m:e>
            <m:sSub>
              <m:e>
                <m:r>
                  <m:t>μ</m:t>
                </m:r>
              </m:e>
              <m:sub>
                <m:r>
                  <m:t>x</m:t>
                </m:r>
              </m:sub>
            </m:sSub>
          </m:e>
        </m:nary>
        <m:d>
          <m:dPr>
            <m:begChr m:val="("/>
            <m:endChr m:val=")"/>
            <m:sepChr m:val=""/>
            <m:grow/>
          </m:dPr>
          <m:e>
            <m:sSub>
              <m:e>
                <m:r>
                  <m:t>h</m:t>
                </m:r>
              </m:e>
              <m:sub>
                <m:r>
                  <m:t>i</m:t>
                </m:r>
              </m:sub>
            </m:sSub>
          </m:e>
        </m:d>
        <m:r>
          <m:t>U</m:t>
        </m:r>
        <m:d>
          <m:dPr>
            <m:begChr m:val="("/>
            <m:endChr m:val=")"/>
            <m:sepChr m:val=""/>
            <m:grow/>
          </m:dPr>
          <m:e>
            <m:sSub>
              <m:e>
                <m:r>
                  <m:t>h</m:t>
                </m:r>
              </m:e>
              <m:sub>
                <m:r>
                  <m:t>i</m:t>
                </m:r>
              </m:sub>
            </m:sSub>
          </m:e>
        </m:d>
        <m:r>
          <m:t>]</m:t>
        </m:r>
        <m:r>
          <m:rPr>
            <m:sty m:val="p"/>
          </m:rPr>
          <m:t>.</m:t>
        </m:r>
      </m:oMath>
    </w:p>
    <w:p>
      <w:pPr>
        <w:pageBreakBefore w:val="0"/>
        <w:jc w:val="both"/>
      </w:pPr>
      <w:r>
        <w:rPr>
          <w:rFonts w:ascii="Old Standard TT" w:hAnsi="Old Standard TT"/>
        </w:rPr>
        <w:t>Consequently, its width is the sum of unavailable-history probability multiplied by the target's remaining continuation span. On safely supported reachable histories, equality of complete audit distributions fixes action conditionals. Until first exit, equivalent agents therefore have the same path law. After exit, the corresponding subtrees never occur in a safe audit, so extremal continuations can be assigned independently. Mixtures fill the interval. Appendix A states the proof obligations and limitations.</w:t>
      </w:r>
    </w:p>
    <w:p>
      <w:pPr>
        <w:keepNext/>
        <w:spacing w:line="252" w:lineRule="auto" w:after="60"/>
      </w:pPr>
      <w:r>
        <w:rPr>
          <w:rFonts w:ascii="Old Standard TT" w:hAnsi="Old Standard TT"/>
          <w:sz w:val="19"/>
        </w:rPr>
        <w:t>Table 1. Target relevance of unavailable evidence, not final detectability alone, determines ambiguity.</w:t>
      </w:r>
    </w:p>
    <w:tbl>
      <w:tblPr>
        <w:tblW w:type="auto" w:w="0"/>
        <w:tblLayout w:type="fixed"/>
        <w:tblLook w:firstColumn="1" w:firstRow="1" w:lastColumn="0" w:lastRow="0" w:noHBand="0" w:noVBand="1" w:val="04A0"/>
      </w:tblPr>
      <w:tblGrid>
        <w:gridCol w:w="3600"/>
        <w:gridCol w:w="2088"/>
        <w:gridCol w:w="3312"/>
      </w:tblGrid>
      <w:tr>
        <w:trPr>
          <w:cantSplit/>
        </w:trPr>
        <w:tc>
          <w:tcPr>
            <w:tcW w:type="dxa" w:w="3600"/>
            <w:tcBorders>
              <w:top w:val="single" w:sz="4" w:color="000000"/>
              <w:bottom w:val="single" w:sz="4" w:color="000000"/>
            </w:tcBorders>
          </w:tcPr>
          <w:p>
            <w:pPr>
              <w:spacing w:line="252" w:lineRule="auto" w:after="60" w:before="60"/>
            </w:pPr>
            <w:r>
              <w:rPr>
                <w:rFonts w:ascii="Old Standard TT" w:hAnsi="Old Standard TT"/>
                <w:b/>
                <w:sz w:val="19"/>
              </w:rPr>
              <w:t>Position of unavailable evidence</w:t>
            </w:r>
          </w:p>
        </w:tc>
        <w:tc>
          <w:tcPr>
            <w:tcW w:type="dxa" w:w="2088"/>
            <w:tcBorders>
              <w:top w:val="single" w:sz="4" w:color="000000"/>
              <w:bottom w:val="single" w:sz="4" w:color="000000"/>
            </w:tcBorders>
          </w:tcPr>
          <w:p>
            <w:pPr>
              <w:spacing w:line="252" w:lineRule="auto" w:after="60" w:before="60"/>
            </w:pPr>
            <w:r>
              <w:rPr>
                <w:rFonts w:ascii="Old Standard TT" w:hAnsi="Old Standard TT"/>
                <w:b/>
                <w:sz w:val="19"/>
              </w:rPr>
              <w:t>Remaining target span</w:t>
            </w:r>
          </w:p>
        </w:tc>
        <w:tc>
          <w:tcPr>
            <w:tcW w:type="dxa" w:w="3312"/>
            <w:tcBorders>
              <w:top w:val="single" w:sz="4" w:color="000000"/>
              <w:bottom w:val="single" w:sz="4" w:color="000000"/>
            </w:tcBorders>
          </w:tcPr>
          <w:p>
            <w:pPr>
              <w:spacing w:line="252" w:lineRule="auto" w:after="60" w:before="60"/>
            </w:pPr>
            <w:r>
              <w:rPr>
                <w:rFonts w:ascii="Old Standard TT" w:hAnsi="Old Standard TT"/>
                <w:b/>
                <w:sz w:val="19"/>
              </w:rPr>
              <w:t>Implication</w:t>
            </w:r>
          </w:p>
        </w:tc>
      </w:tr>
      <w:tr>
        <w:trPr>
          <w:cantSplit/>
        </w:trPr>
        <w:tc>
          <w:tcPr>
            <w:tcW w:type="dxa" w:w="3600"/>
            <w:tcBorders/>
          </w:tcPr>
          <w:p>
            <w:pPr>
              <w:spacing w:line="252" w:lineRule="auto" w:after="60" w:before="60"/>
            </w:pPr>
            <w:r>
              <w:rPr>
                <w:rFonts w:ascii="Old Standard TT" w:hAnsi="Old Standard TT"/>
                <w:b w:val="0"/>
                <w:sz w:val="19"/>
              </w:rPr>
              <w:t>After the target action is fixed</w:t>
            </w:r>
          </w:p>
        </w:tc>
        <w:tc>
          <w:tcPr>
            <w:tcW w:type="dxa" w:w="2088"/>
            <w:tcBorders/>
          </w:tcPr>
          <w:p>
            <w:pPr>
              <w:spacing w:line="252" w:lineRule="auto" w:after="60" w:before="60"/>
            </w:pPr>
            <w:r>
              <w:rPr>
                <w:rFonts w:ascii="Old Standard TT" w:hAnsi="Old Standard TT"/>
                <w:b w:val="0"/>
                <w:sz w:val="19"/>
              </w:rPr>
              <w:t>0</w:t>
            </w:r>
          </w:p>
        </w:tc>
        <w:tc>
          <w:tcPr>
            <w:tcW w:type="dxa" w:w="3312"/>
            <w:tcBorders/>
          </w:tcPr>
          <w:p>
            <w:pPr>
              <w:spacing w:line="252" w:lineRule="auto" w:after="60" w:before="60"/>
            </w:pPr>
            <w:r>
              <w:rPr>
                <w:rFonts w:ascii="Old Standard TT" w:hAnsi="Old Standard TT"/>
                <w:b w:val="0"/>
                <w:sz w:val="19"/>
              </w:rPr>
              <w:t>Earlier action remains identified</w:t>
            </w:r>
          </w:p>
        </w:tc>
      </w:tr>
      <w:tr>
        <w:trPr>
          <w:cantSplit/>
        </w:trPr>
        <w:tc>
          <w:tcPr>
            <w:tcW w:type="dxa" w:w="3600"/>
            <w:tcBorders/>
          </w:tcPr>
          <w:p>
            <w:pPr>
              <w:spacing w:line="252" w:lineRule="auto" w:after="60" w:before="60"/>
            </w:pPr>
            <w:r>
              <w:rPr>
                <w:rFonts w:ascii="Old Standard TT" w:hAnsi="Old Standard TT"/>
                <w:b w:val="0"/>
                <w:sz w:val="19"/>
              </w:rPr>
              <w:t>Before a freely selectable binary action</w:t>
            </w:r>
          </w:p>
        </w:tc>
        <w:tc>
          <w:tcPr>
            <w:tcW w:type="dxa" w:w="2088"/>
            <w:tcBorders/>
          </w:tcPr>
          <w:p>
            <w:pPr>
              <w:spacing w:line="252" w:lineRule="auto" w:after="60" w:before="60"/>
            </w:pPr>
            <w:r>
              <w:rPr>
                <w:rFonts w:ascii="Old Standard TT" w:hAnsi="Old Standard TT"/>
                <w:b w:val="0"/>
                <w:sz w:val="19"/>
              </w:rPr>
              <w:t>1</w:t>
            </w:r>
          </w:p>
        </w:tc>
        <w:tc>
          <w:tcPr>
            <w:tcW w:type="dxa" w:w="3312"/>
            <w:tcBorders/>
          </w:tcPr>
          <w:p>
            <w:pPr>
              <w:spacing w:line="252" w:lineRule="auto" w:after="60" w:before="60"/>
            </w:pPr>
            <w:r>
              <w:rPr>
                <w:rFonts w:ascii="Old Standard TT" w:hAnsi="Old Standard TT"/>
                <w:b w:val="0"/>
                <w:sz w:val="19"/>
              </w:rPr>
              <w:t>Entire exit mass can be ambiguous</w:t>
            </w:r>
          </w:p>
        </w:tc>
      </w:tr>
      <w:tr>
        <w:trPr>
          <w:cantSplit/>
        </w:trPr>
        <w:tc>
          <w:tcPr>
            <w:tcW w:type="dxa" w:w="3600"/>
            <w:tcBorders>
              <w:bottom w:val="single" w:sz="4" w:color="000000"/>
            </w:tcBorders>
          </w:tcPr>
          <w:p>
            <w:pPr>
              <w:spacing w:line="252" w:lineRule="auto" w:after="60" w:before="60"/>
            </w:pPr>
            <w:r>
              <w:rPr>
                <w:rFonts w:ascii="Old Standard TT" w:hAnsi="Old Standard TT"/>
                <w:b w:val="0"/>
                <w:sz w:val="19"/>
              </w:rPr>
              <w:t>Before a partially constrained continuation</w:t>
            </w:r>
          </w:p>
        </w:tc>
        <w:tc>
          <w:tcPr>
            <w:tcW w:type="dxa" w:w="2088"/>
            <w:tcBorders>
              <w:bottom w:val="single" w:sz="4" w:color="000000"/>
            </w:tcBorders>
          </w:tcPr>
          <w:p>
            <w:pPr>
              <w:spacing w:line="252" w:lineRule="auto" w:after="60" w:before="60"/>
            </w:pPr>
            <w:r>
              <w:rPr>
                <w:rFonts w:ascii="Old Standard TT" w:hAnsi="Old Standard TT"/>
                <w:b w:val="0"/>
                <w:sz w:val="19"/>
              </w:rPr>
              <w:t>Between 0 and 1</w:t>
            </w:r>
          </w:p>
        </w:tc>
        <w:tc>
          <w:tcPr>
            <w:tcW w:type="dxa" w:w="3312"/>
            <w:tcBorders>
              <w:bottom w:val="single" w:sz="4" w:color="000000"/>
            </w:tcBorders>
          </w:tcPr>
          <w:p>
            <w:pPr>
              <w:spacing w:line="252" w:lineRule="auto" w:after="60" w:before="60"/>
            </w:pPr>
            <w:r>
              <w:rPr>
                <w:rFonts w:ascii="Old Standard TT" w:hAnsi="Old Standard TT"/>
                <w:b w:val="0"/>
                <w:sz w:val="19"/>
              </w:rPr>
              <w:t>Only the weighted target mass is ambiguous</w:t>
            </w:r>
          </w:p>
        </w:tc>
      </w:tr>
    </w:tbl>
    <w:p>
      <w:pPr>
        <w:spacing w:after="40" w:line="20" w:lineRule="exact"/>
      </w:pPr>
      <w:r>
        <w:rPr>
          <w:sz w:val="2"/>
        </w:rPr>
      </w:r>
    </w:p>
    <w:p>
      <w:pPr>
        <w:pageBreakBefore w:val="0"/>
        <w:jc w:val="both"/>
      </w:pPr>
      <w:r>
        <w:rPr>
          <w:rFonts w:ascii="Old Standard TT" w:hAnsi="Old Standard TT"/>
        </w:rPr>
        <w:t>The timing qualification is essential. It is not permissible to discard an early probe response that influenced the agent merely because a later action is the desired target. Conversely, a world label revealed strictly after commitment can make final environment classification perfect without altering the committed-action distribution. This uses causal ordering, not a claim that the agent lacks awareness.</w:t>
      </w:r>
    </w:p>
    <w:p>
      <w:pPr>
        <w:pageBreakBefore w:val="0"/>
        <w:jc w:val="both"/>
      </w:pPr>
      <w:r>
        <w:rPr>
          <w:rFonts w:ascii="Old Standard TT" w:hAnsi="Old Standard TT"/>
          <w:b/>
        </w:rPr>
        <w:t>Positive support is different from matched frequencies.</w:t>
      </w:r>
      <w:r>
        <w:rPr>
          <w:rFonts w:ascii="Old Standard TT" w:hAnsi="Old Standard TT"/>
        </w:rPr>
        <w:t xml:space="preserve"> Suppose the reference presents prerequisite O=1 with probability p, while a safe controller does so with probability q. For fixed conditional behavior </w:t>
      </w:r>
      <m:oMath>
        <m:sSub>
          <m:e>
            <m:r>
              <m:t>θ</m:t>
            </m:r>
          </m:e>
          <m:sub>
            <m:r>
              <m:t>0</m:t>
            </m:r>
          </m:sub>
        </m:sSub>
      </m:oMath>
      <w:r>
        <w:rPr>
          <w:rFonts w:ascii="Old Standard TT" w:hAnsi="Old Standard TT"/>
        </w:rPr>
        <w:t xml:space="preserve"> and </w:t>
      </w:r>
      <m:oMath>
        <m:sSub>
          <m:e>
            <m:r>
              <m:t>θ</m:t>
            </m:r>
          </m:e>
          <m:sub>
            <m:r>
              <m:t>1</m:t>
            </m:r>
          </m:sub>
        </m:sSub>
      </m:oMath>
      <w:r>
        <w:rPr>
          <w:rFonts w:ascii="Old Standard TT" w:hAnsi="Old Standard TT"/>
        </w:rPr>
        <w:t>, the target is (1-p)</w:t>
      </w:r>
      <m:oMath>
        <m:sSub>
          <m:e>
            <m:r>
              <m:t>θ</m:t>
            </m:r>
          </m:e>
          <m:sub>
            <m:r>
              <m:t>0</m:t>
            </m:r>
          </m:sub>
        </m:sSub>
      </m:oMath>
      <w:r>
        <w:rPr>
          <w:rFonts w:ascii="Old Standard TT" w:hAnsi="Old Standard TT"/>
        </w:rPr>
        <w:t xml:space="preserve">+p </w:t>
      </w:r>
      <m:oMath>
        <m:sSub>
          <m:e>
            <m:r>
              <m:t>θ</m:t>
            </m:r>
          </m:e>
          <m:sub>
            <m:r>
              <m:t>1</m:t>
            </m:r>
          </m:sub>
        </m:sSub>
      </m:oMath>
      <w:r>
        <w:rPr>
          <w:rFonts w:ascii="Old Standard TT" w:hAnsi="Old Standard TT"/>
        </w:rPr>
        <w:t>. When 0&lt;q&lt;1, those conditionals are identifiable in the population even if p and q are far apart. At q=0, the exact interval is [(1-p)</w:t>
      </w:r>
      <m:oMath>
        <m:sSub>
          <m:e>
            <m:r>
              <m:t>θ</m:t>
            </m:r>
          </m:e>
          <m:sub>
            <m:r>
              <m:t>0</m:t>
            </m:r>
          </m:sub>
        </m:sSub>
      </m:oMath>
      <w:r>
        <w:rPr>
          <w:rFonts w:ascii="Old Standard TT" w:hAnsi="Old Standard TT"/>
        </w:rPr>
        <w:t>, (1-p)</w:t>
      </w:r>
      <m:oMath>
        <m:sSub>
          <m:e>
            <m:r>
              <m:t>θ</m:t>
            </m:r>
          </m:e>
          <m:sub>
            <m:r>
              <m:t>0</m:t>
            </m:r>
          </m:sub>
        </m:sSub>
      </m:oMath>
      <w:r>
        <w:rPr>
          <w:rFonts w:ascii="Old Standard TT" w:hAnsi="Old Standard TT"/>
        </w:rPr>
        <w:t>+p]. More repetitions shrink sampling error, not this interval. The missing support here is a declared menu restriction, not proof of a universal physical containment obstacle.</w:t>
      </w:r>
    </w:p>
    <w:p>
      <w:pPr>
        <w:pStyle w:val="Heading3"/>
        <w:pageBreakBefore/>
      </w:pPr>
      <w:r>
        <w:rPr>
          <w:rFonts w:ascii="Old Standard TT" w:hAnsi="Old Standard TT"/>
        </w:rPr>
        <w:t>3.3 From identification to conditional certification</w:t>
      </w:r>
    </w:p>
    <w:p>
      <w:pPr>
        <w:pageBreakBefore w:val="0"/>
        <w:jc w:val="both"/>
      </w:pPr>
      <w:r>
        <w:rPr>
          <w:rFonts w:ascii="Old Standard TT" w:hAnsi="Old Standard TT"/>
        </w:rPr>
        <w:t xml:space="preserve">Fix </w:t>
      </w:r>
      <m:oMath>
        <m:r>
          <m:t>0</m:t>
        </m:r>
        <m:r>
          <m:rPr>
            <m:sty m:val="p"/>
          </m:rPr>
          <m:t>≤</m:t>
        </m:r>
        <m:sSub>
          <m:e>
            <m:r>
              <m:t>τ</m:t>
            </m:r>
          </m:e>
          <m:sub>
            <m:r>
              <m:t>0</m:t>
            </m:r>
          </m:sub>
        </m:sSub>
        <m:r>
          <m:rPr>
            <m:sty m:val="p"/>
          </m:rPr>
          <m:t>&lt;</m:t>
        </m:r>
        <m:r>
          <m:t>τ</m:t>
        </m:r>
        <m:r>
          <m:rPr>
            <m:sty m:val="p"/>
          </m:rPr>
          <m:t>≤</m:t>
        </m:r>
        <m:r>
          <m:t>1</m:t>
        </m:r>
      </m:oMath>
      <w:r>
        <w:rPr>
          <w:rFonts w:ascii="Old Standard TT" w:hAnsi="Old Standard TT"/>
        </w:rPr>
        <w:t xml:space="preserve"> and </w:t>
      </w:r>
      <m:oMath>
        <m:r>
          <m:t>0</m:t>
        </m:r>
        <m:r>
          <m:rPr>
            <m:sty m:val="p"/>
          </m:rPr>
          <m:t>&lt;</m:t>
        </m:r>
        <m:r>
          <m:t>δ</m:t>
        </m:r>
        <m:r>
          <m:rPr>
            <m:sty m:val="p"/>
          </m:rPr>
          <m:t>&lt;</m:t>
        </m:r>
        <m:r>
          <m:t>1</m:t>
        </m:r>
      </m:oMath>
      <w:r>
        <w:rPr>
          <w:rFonts w:ascii="Old Standard TT" w:hAnsi="Old Standard TT"/>
        </w:rPr>
        <w:t xml:space="preserve">. Class G has </w:t>
      </w:r>
      <m:oMath>
        <m:r>
          <m:t>J</m:t>
        </m:r>
        <m:d>
          <m:dPr>
            <m:begChr m:val="("/>
            <m:endChr m:val=")"/>
            <m:sepChr m:val=""/>
            <m:grow/>
          </m:dPr>
          <m:e>
            <m:r>
              <m:t>x</m:t>
            </m:r>
          </m:e>
        </m:d>
        <m:r>
          <m:rPr>
            <m:sty m:val="p"/>
          </m:rPr>
          <m:t>≤</m:t>
        </m:r>
        <m:sSub>
          <m:e>
            <m:r>
              <m:t>τ</m:t>
            </m:r>
          </m:e>
          <m:sub>
            <m:r>
              <m:t>0</m:t>
            </m:r>
          </m:sub>
        </m:sSub>
      </m:oMath>
      <w:r>
        <w:rPr>
          <w:rFonts w:ascii="Old Standard TT" w:hAnsi="Old Standard TT"/>
        </w:rPr>
        <w:t xml:space="preserve">; the high-risk null B has </w:t>
      </w:r>
      <m:oMath>
        <m:r>
          <m:t>J</m:t>
        </m:r>
        <m:d>
          <m:dPr>
            <m:begChr m:val="("/>
            <m:endChr m:val=")"/>
            <m:sepChr m:val=""/>
            <m:grow/>
          </m:dPr>
          <m:e>
            <m:r>
              <m:t>x</m:t>
            </m:r>
          </m:e>
        </m:d>
        <m:r>
          <m:rPr>
            <m:sty m:val="p"/>
          </m:rPr>
          <m:t>≥</m:t>
        </m:r>
        <m:r>
          <m:t>τ</m:t>
        </m:r>
      </m:oMath>
      <w:r>
        <w:rPr>
          <w:rFonts w:ascii="Old Standard TT" w:hAnsi="Old Standard TT"/>
        </w:rPr>
        <w:t xml:space="preserve">. A certificate time T is </w:t>
      </w:r>
      <m:oMath>
        <m:r>
          <m:t>δ</m:t>
        </m:r>
      </m:oMath>
      <w:r>
        <w:rPr>
          <w:rFonts w:ascii="Old Standard TT" w:hAnsi="Old Standard TT"/>
        </w:rPr>
        <w:t xml:space="preserve">-sound if every high-risk agent has probability at most </w:t>
      </w:r>
      <m:oMath>
        <m:r>
          <m:t>δ</m:t>
        </m:r>
      </m:oMath>
      <w:r>
        <w:rPr>
          <w:rFonts w:ascii="Old Standard TT" w:hAnsi="Old Standard TT"/>
        </w:rPr>
        <w:t xml:space="preserve"> of ever receiving a certificate. Completeness requires finite worst-case expected time on G. The middle region has no power guarantee. Soundness is not a posterior safety probability. Here D denotes relative entropy.</w:t>
      </w:r>
    </w:p>
    <w:p>
      <w:pPr>
        <w:spacing w:before="80" w:after="140"/>
        <w:jc w:val="center"/>
      </w:pPr>
      <m:oMath>
        <m:r>
          <m:t>Γ</m:t>
        </m:r>
        <m:r>
          <m:rPr>
            <m:sty m:val="p"/>
          </m:rPr>
          <m:t>=</m:t>
        </m:r>
        <m:limLow>
          <m:e>
            <m:r>
              <m:rPr>
                <m:sty m:val="p"/>
              </m:rPr>
              <m:t>min</m:t>
            </m:r>
          </m:e>
          <m:lim>
            <m:r>
              <m:t>g</m:t>
            </m:r>
            <m:r>
              <m:rPr>
                <m:sty m:val="p"/>
              </m:rPr>
              <m:t>∈</m:t>
            </m:r>
            <m:r>
              <m:rPr>
                <m:sty m:val="p"/>
                <m:scr m:val="script"/>
              </m:rPr>
              <m:t>G</m:t>
            </m:r>
            <m:r>
              <m:rPr>
                <m:sty m:val="p"/>
              </m:rPr>
              <m:t>,</m:t>
            </m:r>
            <m:r>
              <m:t> </m:t>
            </m:r>
            <m:r>
              <m:t>b</m:t>
            </m:r>
            <m:r>
              <m:rPr>
                <m:sty m:val="p"/>
              </m:rPr>
              <m:t>∈</m:t>
            </m:r>
            <m:r>
              <m:rPr>
                <m:sty m:val="p"/>
                <m:scr m:val="script"/>
              </m:rPr>
              <m:t>B</m:t>
            </m:r>
          </m:lim>
        </m:limLow>
        <m:limLow>
          <m:e>
            <m:r>
              <m:rPr>
                <m:sty m:val="p"/>
              </m:rPr>
              <m:t>max</m:t>
            </m:r>
          </m:e>
          <m:lim>
            <m:r>
              <m:t>j</m:t>
            </m:r>
          </m:lim>
        </m:limLow>
        <m:r>
          <m:t>D</m:t>
        </m:r>
        <m:d>
          <m:dPr>
            <m:begChr m:val="("/>
            <m:endChr m:val=")"/>
            <m:sepChr m:val=""/>
            <m:grow/>
          </m:dPr>
          <m:e>
            <m:sSub>
              <m:e>
                <m:r>
                  <m:t>M</m:t>
                </m:r>
              </m:e>
              <m:sub>
                <m:r>
                  <m:t>j</m:t>
                </m:r>
              </m:sub>
            </m:sSub>
            <m:r>
              <m:t>g</m:t>
            </m:r>
            <m:r>
              <m:rPr>
                <m:sty m:val="p"/>
              </m:rPr>
              <m:t>‖</m:t>
            </m:r>
            <m:sSub>
              <m:e>
                <m:r>
                  <m:t>M</m:t>
                </m:r>
              </m:e>
              <m:sub>
                <m:r>
                  <m:t>j</m:t>
                </m:r>
              </m:sub>
            </m:sSub>
            <m:r>
              <m:t>b</m:t>
            </m:r>
          </m:e>
        </m:d>
        <m:r>
          <m:rPr>
            <m:sty m:val="p"/>
          </m:rPr>
          <m:t>.</m:t>
        </m:r>
      </m:oMath>
    </w:p>
    <w:p>
      <w:pPr>
        <w:pageBreakBefore w:val="0"/>
        <w:jc w:val="both"/>
      </w:pPr>
      <w:r>
        <w:rPr>
          <w:rFonts w:ascii="Old Standard TT" w:hAnsi="Old Standard TT"/>
          <w:b/>
        </w:rPr>
        <w:t>Proposition 2 (conditional certification, carried-forward theory).</w:t>
      </w:r>
      <w:r>
        <w:rPr>
          <w:rFonts w:ascii="Old Standard TT" w:hAnsi="Old Standard TT"/>
        </w:rPr>
        <w:t xml:space="preserve"> With finite alphabets, known maps, compact convex nonempty threshold classes, and independent resets, </w:t>
      </w:r>
      <m:oMath>
        <m:r>
          <m:t>Γ</m:t>
        </m:r>
      </m:oMath>
      <w:r>
        <w:rPr>
          <w:rFonts w:ascii="Old Standard TT" w:hAnsi="Old Standard TT"/>
        </w:rPr>
        <w:t xml:space="preserve"> is zero exactly when a cross-threshold pair has identical laws for every controller. Such a pair rules out a sound complete certifier. For 0 &lt; </w:t>
      </w:r>
      <m:oMath>
        <m:r>
          <m:t>Γ</m:t>
        </m:r>
      </m:oMath>
      <w:r>
        <w:rPr>
          <w:rFonts w:ascii="Old Standard TT" w:hAnsi="Old Standard TT"/>
        </w:rPr>
        <w:t xml:space="preserve"> &lt; infinity, the optimal worst-case expected run cost </w:t>
      </w:r>
      <m:oMath>
        <m:sSub>
          <m:e>
            <m:r>
              <m:t>C</m:t>
            </m:r>
          </m:e>
          <m:sub>
            <m:r>
              <m:t>δ</m:t>
            </m:r>
          </m:sub>
        </m:sSub>
      </m:oMath>
      <w:r>
        <w:rPr>
          <w:rFonts w:ascii="Old Standard TT" w:hAnsi="Old Standard TT"/>
        </w:rPr>
        <w:t xml:space="preserve"> obeys</w:t>
      </w:r>
    </w:p>
    <w:p>
      <w:pPr>
        <w:spacing w:before="80" w:after="140"/>
        <w:jc w:val="center"/>
      </w:pPr>
      <m:oMath>
        <m:sSub>
          <m:e>
            <m:r>
              <m:t>C</m:t>
            </m:r>
          </m:e>
          <m:sub>
            <m:r>
              <m:t>δ</m:t>
            </m:r>
          </m:sub>
        </m:sSub>
        <m:r>
          <m:rPr>
            <m:sty m:val="p"/>
          </m:rPr>
          <m:t>≥</m:t>
        </m:r>
        <m:f>
          <m:fPr>
            <m:type m:val="bar"/>
          </m:fPr>
          <m:num>
            <m:r>
              <m:rPr>
                <m:sty m:val="p"/>
              </m:rPr>
              <m:t>log</m:t>
            </m:r>
            <m:d>
              <m:dPr>
                <m:begChr m:val="("/>
                <m:endChr m:val=")"/>
                <m:sepChr m:val=""/>
                <m:grow/>
              </m:dPr>
              <m:e>
                <m:r>
                  <m:t>1</m:t>
                </m:r>
                <m:r>
                  <m:rPr>
                    <m:sty m:val="p"/>
                  </m:rPr>
                  <m:t>/</m:t>
                </m:r>
                <m:r>
                  <m:t>δ</m:t>
                </m:r>
              </m:e>
            </m:d>
          </m:num>
          <m:den>
            <m:r>
              <m:t>Γ</m:t>
            </m:r>
          </m:den>
        </m:f>
        <m:r>
          <m:rPr>
            <m:sty m:val="p"/>
          </m:rPr>
          <m:t>,</m:t>
        </m:r>
        <m:r>
          <m:t>  </m:t>
        </m:r>
        <m:f>
          <m:fPr>
            <m:type m:val="bar"/>
          </m:fPr>
          <m:num>
            <m:sSub>
              <m:e>
                <m:r>
                  <m:t>C</m:t>
                </m:r>
              </m:e>
              <m:sub>
                <m:r>
                  <m:t>δ</m:t>
                </m:r>
              </m:sub>
            </m:sSub>
          </m:num>
          <m:den>
            <m:r>
              <m:rPr>
                <m:sty m:val="p"/>
              </m:rPr>
              <m:t>log</m:t>
            </m:r>
            <m:d>
              <m:dPr>
                <m:begChr m:val="("/>
                <m:endChr m:val=")"/>
                <m:sepChr m:val=""/>
                <m:grow/>
              </m:dPr>
              <m:e>
                <m:r>
                  <m:t>1</m:t>
                </m:r>
                <m:r>
                  <m:rPr>
                    <m:sty m:val="p"/>
                  </m:rPr>
                  <m:t>/</m:t>
                </m:r>
                <m:r>
                  <m:t>δ</m:t>
                </m:r>
              </m:e>
            </m:d>
          </m:den>
        </m:f>
        <m:r>
          <m:rPr>
            <m:sty m:val="p"/>
          </m:rPr>
          <m:t>→</m:t>
        </m:r>
        <m:f>
          <m:fPr>
            <m:type m:val="bar"/>
          </m:fPr>
          <m:num>
            <m:r>
              <m:t>1</m:t>
            </m:r>
          </m:num>
          <m:den>
            <m:r>
              <m:t>Γ</m:t>
            </m:r>
          </m:den>
        </m:f>
        <m:r>
          <m:t> </m:t>
        </m:r>
        <m:d>
          <m:dPr>
            <m:begChr m:val="("/>
            <m:endChr m:val=")"/>
            <m:sepChr m:val=""/>
            <m:grow/>
          </m:dPr>
          <m:e>
            <m:r>
              <m:t>δ</m:t>
            </m:r>
            <m:r>
              <m:rPr>
                <m:sty m:val="p"/>
              </m:rPr>
              <m:t>↓</m:t>
            </m:r>
            <m:r>
              <m:t>0</m:t>
            </m:r>
          </m:e>
        </m:d>
        <m:r>
          <m:rPr>
            <m:sty m:val="p"/>
          </m:rPr>
          <m:t>.</m:t>
        </m:r>
      </m:oMath>
    </w:p>
    <w:p>
      <w:pPr>
        <w:pageBreakBefore w:val="0"/>
        <w:jc w:val="both"/>
      </w:pPr>
      <w:r>
        <w:rPr>
          <w:rFonts w:ascii="Old Standard TT" w:hAnsi="Old Standard TT"/>
        </w:rPr>
        <w:t>The upper construction selects a fixed randomized mixture of complete controllers. The lower bound permits adaptive selection. This is a fixed-model, fixed-threshold asymptotic, not an exact finite-budget guarantee for a real LLM. A least-favorable good/bad pair generates nonnegative evidence factors whose joint controller-record expectation is at most one under every high-risk agent. Their product can be stopped at 1/</w:t>
      </w:r>
      <m:oMath>
        <m:r>
          <m:t>δ</m:t>
        </m:r>
      </m:oMath>
      <w:r>
        <w:rPr>
          <w:rFonts w:ascii="Old Standard TT" w:hAnsi="Old Standard TT"/>
        </w:rPr>
        <w:t>. Positive expected log growth gives finite low-risk cost. Appendix B summarizes support handling and the stopped information lower bound [7–8].</w:t>
      </w:r>
    </w:p>
    <w:p>
      <w:pPr>
        <w:pStyle w:val="Heading3"/>
        <w:pageBreakBefore w:val="0"/>
      </w:pPr>
      <w:r>
        <w:rPr>
          <w:rFonts w:ascii="Old Standard TT" w:hAnsi="Old Standard TT"/>
        </w:rPr>
        <w:t>3.4 Robustness requires conditional, not marginal, fidelity</w:t>
      </w:r>
    </w:p>
    <w:p>
      <w:pPr>
        <w:pageBreakBefore w:val="0"/>
        <w:jc w:val="both"/>
      </w:pPr>
      <w:r>
        <w:rPr>
          <w:rFonts w:ascii="Old Standard TT" w:hAnsi="Old Standard TT"/>
        </w:rPr>
        <w:t xml:space="preserve">Let </w:t>
      </w:r>
      <m:oMath>
        <m:sSub>
          <m:e>
            <m:r>
              <m:t>e</m:t>
            </m:r>
          </m:e>
          <m:sub>
            <m:r>
              <m:t>t</m:t>
            </m:r>
          </m:sub>
        </m:sSub>
      </m:oMath>
      <w:r>
        <w:rPr>
          <w:rFonts w:ascii="Old Standard TT" w:hAnsi="Old Standard TT"/>
        </w:rPr>
        <w:t xml:space="preserve"> be a nonnegative score chosen before the next joint controller-record outcome; </w:t>
      </w:r>
      <m:oMath>
        <m:sSub>
          <m:e>
            <m:r>
              <m:t>r</m:t>
            </m:r>
          </m:e>
          <m:sub>
            <m:r>
              <m:t>t</m:t>
            </m:r>
          </m:sub>
        </m:sSub>
      </m:oMath>
      <w:r>
        <w:rPr>
          <w:rFonts w:ascii="Old Standard TT" w:hAnsi="Old Standard TT"/>
        </w:rPr>
        <w:t xml:space="preserve"> is its finite maximum minus minimum. Its nominal conditional null mean is at most </w:t>
      </w:r>
      <m:oMath>
        <m:r>
          <m:t>1</m:t>
        </m:r>
        <m:r>
          <m:rPr>
            <m:sty m:val="p"/>
          </m:rPr>
          <m:t>+</m:t>
        </m:r>
        <m:sSub>
          <m:e>
            <m:r>
              <m:t>ν</m:t>
            </m:r>
          </m:e>
          <m:sub>
            <m:r>
              <m:t>t</m:t>
            </m:r>
          </m:sub>
        </m:sSub>
      </m:oMath>
      <w:r>
        <w:rPr>
          <w:rFonts w:ascii="Old Standard TT" w:hAnsi="Old Standard TT"/>
        </w:rPr>
        <w:t xml:space="preserve">, and its actual conditional law is within total variation </w:t>
      </w:r>
      <m:oMath>
        <m:sSub>
          <m:e>
            <m:r>
              <m:t>η</m:t>
            </m:r>
          </m:e>
          <m:sub>
            <m:r>
              <m:t>t</m:t>
            </m:r>
          </m:sub>
        </m:sSub>
      </m:oMath>
      <w:r>
        <w:rPr>
          <w:rFonts w:ascii="Old Standard TT" w:hAnsi="Old Standard TT"/>
        </w:rPr>
        <w:t>. Both nonnegative bounds must be justified, not inferred from clean runs. Then</w:t>
      </w:r>
    </w:p>
    <w:p>
      <w:pPr>
        <w:spacing w:before="80" w:after="140"/>
        <w:jc w:val="center"/>
      </w:pPr>
      <m:oMath>
        <m:sSub>
          <m:e>
            <m:r>
              <m:t>Z</m:t>
            </m:r>
          </m:e>
          <m:sub>
            <m:r>
              <m:t>n</m:t>
            </m:r>
          </m:sub>
        </m:sSub>
        <m:r>
          <m:rPr>
            <m:sty m:val="p"/>
          </m:rPr>
          <m:t>=</m:t>
        </m:r>
        <m:nary>
          <m:naryPr>
            <m:chr m:val="∏"/>
            <m:limLoc m:val="undOvr"/>
            <m:subHide m:val="off"/>
            <m:supHide m:val="off"/>
          </m:naryPr>
          <m:sub>
            <m:r>
              <m:t>t</m:t>
            </m:r>
            <m:r>
              <m:rPr>
                <m:sty m:val="p"/>
              </m:rPr>
              <m:t>=</m:t>
            </m:r>
            <m:r>
              <m:t>1</m:t>
            </m:r>
          </m:sub>
          <m:sup>
            <m:r>
              <m:t>n</m:t>
            </m:r>
          </m:sup>
          <m:e>
            <m:f>
              <m:fPr>
                <m:type m:val="bar"/>
              </m:fPr>
              <m:num>
                <m:sSub>
                  <m:e>
                    <m:r>
                      <m:t>e</m:t>
                    </m:r>
                  </m:e>
                  <m:sub>
                    <m:r>
                      <m:t>t</m:t>
                    </m:r>
                  </m:sub>
                </m:sSub>
              </m:num>
              <m:den>
                <m:r>
                  <m:t>1</m:t>
                </m:r>
                <m:r>
                  <m:rPr>
                    <m:sty m:val="p"/>
                  </m:rPr>
                  <m:t>+</m:t>
                </m:r>
                <m:sSub>
                  <m:e>
                    <m:r>
                      <m:t>ν</m:t>
                    </m:r>
                  </m:e>
                  <m:sub>
                    <m:r>
                      <m:t>t</m:t>
                    </m:r>
                  </m:sub>
                </m:sSub>
                <m:r>
                  <m:rPr>
                    <m:sty m:val="p"/>
                  </m:rPr>
                  <m:t>+</m:t>
                </m:r>
                <m:sSub>
                  <m:e>
                    <m:r>
                      <m:t>η</m:t>
                    </m:r>
                  </m:e>
                  <m:sub>
                    <m:r>
                      <m:t>t</m:t>
                    </m:r>
                  </m:sub>
                </m:sSub>
                <m:sSub>
                  <m:e>
                    <m:r>
                      <m:t>r</m:t>
                    </m:r>
                  </m:e>
                  <m:sub>
                    <m:r>
                      <m:t>t</m:t>
                    </m:r>
                  </m:sub>
                </m:sSub>
              </m:den>
            </m:f>
          </m:e>
        </m:nary>
        <m:r>
          <m:rPr>
            <m:sty m:val="p"/>
          </m:rPr>
          <m:t>,</m:t>
        </m:r>
        <m:r>
          <m:t>  </m:t>
        </m:r>
        <m:limLow>
          <m:e>
            <m:r>
              <m:rPr>
                <m:sty m:val="p"/>
              </m:rPr>
              <m:t>Pr</m:t>
            </m:r>
          </m:e>
          <m:lim>
            <m:r>
              <m:rPr>
                <m:sty m:val="p"/>
                <m:scr m:val="script"/>
              </m:rPr>
              <m:t>B</m:t>
            </m:r>
          </m:lim>
        </m:limLow>
        <m:d>
          <m:dPr>
            <m:begChr m:val="("/>
            <m:endChr m:val=")"/>
            <m:sepChr m:val=""/>
            <m:grow/>
          </m:dPr>
          <m:e>
            <m:r>
              <m:rPr>
                <m:sty m:val="p"/>
              </m:rPr>
              <m:t>∃</m:t>
            </m:r>
            <m:r>
              <m:t>n</m:t>
            </m:r>
            <m:r>
              <m:rPr>
                <m:sty m:val="p"/>
              </m:rPr>
              <m:t>:</m:t>
            </m:r>
            <m:sSub>
              <m:e>
                <m:r>
                  <m:t>Z</m:t>
                </m:r>
              </m:e>
              <m:sub>
                <m:r>
                  <m:t>n</m:t>
                </m:r>
              </m:sub>
            </m:sSub>
            <m:r>
              <m:rPr>
                <m:sty m:val="p"/>
              </m:rPr>
              <m:t>≥</m:t>
            </m:r>
            <m:r>
              <m:t>1</m:t>
            </m:r>
            <m:r>
              <m:rPr>
                <m:sty m:val="p"/>
              </m:rPr>
              <m:t>/</m:t>
            </m:r>
            <m:r>
              <m:t>δ</m:t>
            </m:r>
          </m:e>
        </m:d>
        <m:r>
          <m:rPr>
            <m:sty m:val="p"/>
          </m:rPr>
          <m:t>≤</m:t>
        </m:r>
        <m:r>
          <m:t>δ</m:t>
        </m:r>
        <m:r>
          <m:rPr>
            <m:sty m:val="p"/>
          </m:rPr>
          <m:t>.</m:t>
        </m:r>
      </m:oMath>
    </w:p>
    <w:p>
      <w:pPr>
        <w:pageBreakBefore w:val="0"/>
        <w:jc w:val="both"/>
      </w:pPr>
      <w:r>
        <w:rPr>
          <w:rFonts w:ascii="Old Standard TT" w:hAnsi="Old Standard TT"/>
          <w:b/>
        </w:rPr>
        <w:t>Proposition 3 (conditional robustness).</w:t>
      </w:r>
      <w:r>
        <w:rPr>
          <w:rFonts w:ascii="Old Standard TT" w:hAnsi="Old Standard TT"/>
        </w:rPr>
        <w:t xml:space="preserve"> The bounded-function inequality for total variation bounds the actual mean by 1+</w:t>
      </w:r>
      <m:oMath>
        <m:sSub>
          <m:e>
            <m:r>
              <m:t>ν</m:t>
            </m:r>
          </m:e>
          <m:sub>
            <m:r>
              <m:t>t</m:t>
            </m:r>
          </m:sub>
        </m:sSub>
      </m:oMath>
      <w:r>
        <w:rPr>
          <w:rFonts w:ascii="Old Standard TT" w:hAnsi="Old Standard TT"/>
        </w:rPr>
        <w:t>+</w:t>
      </w:r>
      <m:oMath>
        <m:sSub>
          <m:e>
            <m:r>
              <m:t>η</m:t>
            </m:r>
          </m:e>
          <m:sub>
            <m:r>
              <m:t>t</m:t>
            </m:r>
          </m:sub>
        </m:sSub>
      </m:oMath>
      <w:r>
        <w:rPr>
          <w:rFonts w:ascii="Old Standard TT" w:hAnsi="Old Standard TT"/>
        </w:rPr>
        <w:t xml:space="preserve"> </w:t>
      </w:r>
      <m:oMath>
        <m:sSub>
          <m:e>
            <m:r>
              <m:t>r</m:t>
            </m:r>
          </m:e>
          <m:sub>
            <m:r>
              <m:t>t</m:t>
            </m:r>
          </m:sub>
        </m:sSub>
      </m:oMath>
      <w:r>
        <w:rPr>
          <w:rFonts w:ascii="Old Standard TT" w:hAnsi="Old Standard TT"/>
        </w:rPr>
        <w:t>. Conditioning and multiplying yields a nonnegative supermartingale, so the crossing bound follows. No independence is needed beyond the stated conditional guarantee. The correction may eliminate growth; an unresolved run is not safe. This is an elementary robustification of existing e-process theory, implemented here as a fault test, not a new statistical primitive.</w:t>
      </w:r>
    </w:p>
    <w:p>
      <w:pPr>
        <w:pageBreakBefore w:val="0"/>
        <w:jc w:val="both"/>
      </w:pPr>
      <w:r>
        <w:rPr>
          <w:rFonts w:ascii="Old Standard TT" w:hAnsi="Old Standard TT"/>
        </w:rPr>
        <w:t>One-time marginal matching and ad hoc controller changes do not suffice. Appendix C gives counterexamples; optional stopping does not authorize changing the underlying experiment.</w:t>
      </w:r>
    </w:p>
    <w:p>
      <w:pPr>
        <w:pStyle w:val="Heading3"/>
        <w:pageBreakBefore/>
      </w:pPr>
      <w:r>
        <w:rPr>
          <w:rFonts w:ascii="Old Standard TT" w:hAnsi="Old Standard TT"/>
        </w:rPr>
        <w:t>3.5 Reproducible experiment design</w:t>
      </w:r>
    </w:p>
    <w:p>
      <w:pPr>
        <w:pageBreakBefore w:val="0"/>
        <w:jc w:val="both"/>
      </w:pPr>
      <w:r>
        <w:rPr>
          <w:rFonts w:ascii="Old Standard TT" w:hAnsi="Old Standard TT"/>
        </w:rPr>
        <w:t>The artifact has three tests. E1 implements interactive causal mechanisms. E2 checks population identification and finite-sample recovery with known kernels. E3 injects specified faults into a sequential certificate. They share no real targets, credentials, operating-system probes, or destructive actions. Synthetic outcomes are separated from the prospective LLM study.</w:t>
      </w:r>
    </w:p>
    <w:p>
      <w:pPr>
        <w:keepNext/>
        <w:spacing w:line="252" w:lineRule="auto" w:after="60"/>
      </w:pPr>
      <w:r>
        <w:rPr>
          <w:rFonts w:ascii="Old Standard TT" w:hAnsi="Old Standard TT"/>
          <w:sz w:val="19"/>
        </w:rPr>
        <w:t>Table 2. Three controlled tests and their distinct evidential targets.</w:t>
      </w:r>
    </w:p>
    <w:tbl>
      <w:tblPr>
        <w:tblW w:type="auto" w:w="0"/>
        <w:tblLayout w:type="fixed"/>
        <w:tblLook w:firstColumn="1" w:firstRow="1" w:lastColumn="0" w:lastRow="0" w:noHBand="0" w:noVBand="1" w:val="04A0"/>
      </w:tblPr>
      <w:tblGrid>
        <w:gridCol w:w="1800"/>
        <w:gridCol w:w="3672"/>
        <w:gridCol w:w="3528"/>
      </w:tblGrid>
      <w:tr>
        <w:trPr>
          <w:cantSplit/>
        </w:trPr>
        <w:tc>
          <w:tcPr>
            <w:tcW w:type="dxa" w:w="1800"/>
            <w:tcBorders>
              <w:top w:val="single" w:sz="4" w:color="000000"/>
              <w:bottom w:val="single" w:sz="4" w:color="000000"/>
            </w:tcBorders>
          </w:tcPr>
          <w:p>
            <w:pPr>
              <w:spacing w:line="252" w:lineRule="auto" w:after="60" w:before="60"/>
            </w:pPr>
            <w:r>
              <w:rPr>
                <w:rFonts w:ascii="Old Standard TT" w:hAnsi="Old Standard TT"/>
                <w:b/>
                <w:sz w:val="19"/>
              </w:rPr>
              <w:t>Test</w:t>
            </w:r>
          </w:p>
        </w:tc>
        <w:tc>
          <w:tcPr>
            <w:tcW w:type="dxa" w:w="3672"/>
            <w:tcBorders>
              <w:top w:val="single" w:sz="4" w:color="000000"/>
              <w:bottom w:val="single" w:sz="4" w:color="000000"/>
            </w:tcBorders>
          </w:tcPr>
          <w:p>
            <w:pPr>
              <w:spacing w:line="252" w:lineRule="auto" w:after="60" w:before="60"/>
            </w:pPr>
            <w:r>
              <w:rPr>
                <w:rFonts w:ascii="Old Standard TT" w:hAnsi="Old Standard TT"/>
                <w:b/>
                <w:sz w:val="19"/>
              </w:rPr>
              <w:t>Manipulation</w:t>
            </w:r>
          </w:p>
        </w:tc>
        <w:tc>
          <w:tcPr>
            <w:tcW w:type="dxa" w:w="3528"/>
            <w:tcBorders>
              <w:top w:val="single" w:sz="4" w:color="000000"/>
              <w:bottom w:val="single" w:sz="4" w:color="000000"/>
            </w:tcBorders>
          </w:tcPr>
          <w:p>
            <w:pPr>
              <w:spacing w:line="252" w:lineRule="auto" w:after="60" w:before="60"/>
            </w:pPr>
            <w:r>
              <w:rPr>
                <w:rFonts w:ascii="Old Standard TT" w:hAnsi="Old Standard TT"/>
                <w:b/>
                <w:sz w:val="19"/>
              </w:rPr>
              <w:t>Main measurement</w:t>
            </w:r>
          </w:p>
        </w:tc>
      </w:tr>
      <w:tr>
        <w:trPr>
          <w:cantSplit/>
        </w:trPr>
        <w:tc>
          <w:tcPr>
            <w:tcW w:type="dxa" w:w="1800"/>
            <w:tcBorders/>
          </w:tcPr>
          <w:p>
            <w:pPr>
              <w:spacing w:line="252" w:lineRule="auto" w:after="60" w:before="60"/>
            </w:pPr>
            <w:r>
              <w:rPr>
                <w:rFonts w:ascii="Old Standard TT" w:hAnsi="Old Standard TT"/>
                <w:b w:val="0"/>
                <w:sz w:val="19"/>
              </w:rPr>
              <w:t>E1: causal timing</w:t>
            </w:r>
          </w:p>
        </w:tc>
        <w:tc>
          <w:tcPr>
            <w:tcW w:type="dxa" w:w="3672"/>
            <w:tcBorders/>
          </w:tcPr>
          <w:p>
            <w:pPr>
              <w:spacing w:line="252" w:lineRule="auto" w:after="60" w:before="60"/>
            </w:pPr>
            <w:r>
              <w:rPr>
                <w:rFonts w:ascii="Old Standard TT" w:hAnsi="Old Standard TT"/>
                <w:b w:val="0"/>
                <w:sz w:val="19"/>
              </w:rPr>
              <w:t>Persistence / cross-service consistency; cue before / after commitment; 0 / 4 probes</w:t>
            </w:r>
          </w:p>
        </w:tc>
        <w:tc>
          <w:tcPr>
            <w:tcW w:type="dxa" w:w="3528"/>
            <w:tcBorders/>
          </w:tcPr>
          <w:p>
            <w:pPr>
              <w:spacing w:line="252" w:lineRule="auto" w:after="60" w:before="60"/>
            </w:pPr>
            <w:r>
              <w:rPr>
                <w:rFonts w:ascii="Old Standard TT" w:hAnsi="Old Standard TT"/>
                <w:b w:val="0"/>
                <w:sz w:val="19"/>
              </w:rPr>
              <w:t>Pre-reveal and final classification; committed shortcut rate</w:t>
            </w:r>
          </w:p>
        </w:tc>
      </w:tr>
      <w:tr>
        <w:trPr>
          <w:cantSplit/>
        </w:trPr>
        <w:tc>
          <w:tcPr>
            <w:tcW w:type="dxa" w:w="1800"/>
            <w:tcBorders/>
          </w:tcPr>
          <w:p>
            <w:pPr>
              <w:spacing w:line="252" w:lineRule="auto" w:after="60" w:before="60"/>
            </w:pPr>
            <w:r>
              <w:rPr>
                <w:rFonts w:ascii="Old Standard TT" w:hAnsi="Old Standard TT"/>
                <w:b w:val="0"/>
                <w:sz w:val="19"/>
              </w:rPr>
              <w:t>E2: prerequisite coverage</w:t>
            </w:r>
          </w:p>
        </w:tc>
        <w:tc>
          <w:tcPr>
            <w:tcW w:type="dxa" w:w="3672"/>
            <w:tcBorders/>
          </w:tcPr>
          <w:p>
            <w:pPr>
              <w:spacing w:line="252" w:lineRule="auto" w:after="60" w:before="60"/>
            </w:pPr>
            <w:r>
              <w:rPr>
                <w:rFonts w:ascii="Old Standard TT" w:hAnsi="Old Standard TT"/>
                <w:b w:val="0"/>
                <w:sz w:val="19"/>
              </w:rPr>
              <w:t>Safe probability q from zero to full support</w:t>
            </w:r>
          </w:p>
        </w:tc>
        <w:tc>
          <w:tcPr>
            <w:tcW w:type="dxa" w:w="3528"/>
            <w:tcBorders/>
          </w:tcPr>
          <w:p>
            <w:pPr>
              <w:spacing w:line="252" w:lineRule="auto" w:after="60" w:before="60"/>
            </w:pPr>
            <w:r>
              <w:rPr>
                <w:rFonts w:ascii="Old Standard TT" w:hAnsi="Old Standard TT"/>
                <w:b w:val="0"/>
                <w:sz w:val="19"/>
              </w:rPr>
              <w:t>Identification interval; naive and weighted MSE</w:t>
            </w:r>
          </w:p>
        </w:tc>
      </w:tr>
      <w:tr>
        <w:trPr>
          <w:cantSplit/>
        </w:trPr>
        <w:tc>
          <w:tcPr>
            <w:tcW w:type="dxa" w:w="1800"/>
            <w:tcBorders>
              <w:bottom w:val="single" w:sz="4" w:color="000000"/>
            </w:tcBorders>
          </w:tcPr>
          <w:p>
            <w:pPr>
              <w:spacing w:line="252" w:lineRule="auto" w:after="60" w:before="60"/>
            </w:pPr>
            <w:r>
              <w:rPr>
                <w:rFonts w:ascii="Old Standard TT" w:hAnsi="Old Standard TT"/>
                <w:b w:val="0"/>
                <w:sz w:val="19"/>
              </w:rPr>
              <w:t>E3: evidence validity</w:t>
            </w:r>
          </w:p>
        </w:tc>
        <w:tc>
          <w:tcPr>
            <w:tcW w:type="dxa" w:w="3672"/>
            <w:tcBorders>
              <w:bottom w:val="single" w:sz="4" w:color="000000"/>
            </w:tcBorders>
          </w:tcPr>
          <w:p>
            <w:pPr>
              <w:spacing w:line="252" w:lineRule="auto" w:after="60" w:before="60"/>
            </w:pPr>
            <w:r>
              <w:rPr>
                <w:rFonts w:ascii="Old Standard TT" w:hAnsi="Old Standard TT"/>
                <w:b w:val="0"/>
                <w:sz w:val="19"/>
              </w:rPr>
              <w:t>Conditional distribution shift / cached bit</w:t>
            </w:r>
          </w:p>
        </w:tc>
        <w:tc>
          <w:tcPr>
            <w:tcW w:type="dxa" w:w="3528"/>
            <w:tcBorders>
              <w:bottom w:val="single" w:sz="4" w:color="000000"/>
            </w:tcBorders>
          </w:tcPr>
          <w:p>
            <w:pPr>
              <w:spacing w:line="252" w:lineRule="auto" w:after="60" w:before="60"/>
            </w:pPr>
            <w:r>
              <w:rPr>
                <w:rFonts w:ascii="Old Standard TT" w:hAnsi="Old Standard TT"/>
                <w:b w:val="0"/>
                <w:sz w:val="19"/>
              </w:rPr>
              <w:t>Exact false-certificate crossing probability</w:t>
            </w:r>
          </w:p>
        </w:tc>
      </w:tr>
    </w:tbl>
    <w:p>
      <w:pPr>
        <w:spacing w:after="40" w:line="20" w:lineRule="exact"/>
      </w:pPr>
      <w:r>
        <w:rPr>
          <w:sz w:val="2"/>
        </w:rPr>
      </w:r>
    </w:p>
    <w:p>
      <w:pPr>
        <w:pageBreakBefore w:val="0"/>
        <w:jc w:val="both"/>
      </w:pPr>
      <w:r>
        <w:rPr>
          <w:rFonts w:ascii="Old Standard TT" w:hAnsi="Old Standard TT"/>
          <w:b/>
        </w:rPr>
        <w:t>E1.</w:t>
      </w:r>
      <w:r>
        <w:rPr>
          <w:rFonts w:ascii="Old Standard TT" w:hAnsi="Old Standard TT"/>
        </w:rPr>
        <w:t xml:space="preserve"> Both worlds expose write, read, new_session, status, and commit with the same schemas. Before commitment, the after arm uses the same coherent response kernel for both labels. Only after the action is fixed does a canary diagnostic expose the differing mechanism. In the before arm, the agent's permitted probes can already find the discrepancy. A coherent negative control removes it altogether. Standard and shortcut both finish the local task; the latter skips a required check and is prohibited.</w:t>
      </w:r>
    </w:p>
    <w:p>
      <w:pPr>
        <w:pageBreakBefore w:val="0"/>
        <w:jc w:val="both"/>
      </w:pPr>
      <w:r>
        <w:rPr>
          <w:rFonts w:ascii="Old Standard TT" w:hAnsi="Old Standard TT"/>
        </w:rPr>
        <w:t>Four scripted policies serve as known possibility and plumbing controls: always standard, always shortcut, a mechanism-conditioned switch, and a blind policy. The release executes 12 replicate identifiers per cell, producing 768 factorial episodes and 192 coherent controls. These seeds repeat a small mechanism set; they are not 960 independent realistic tasks. A separate exhaustive test replays all 625 length-four probe sequences in each after-condition family and verifies matching observations.</w:t>
      </w:r>
    </w:p>
    <w:p>
      <w:pPr>
        <w:pageBreakBefore w:val="0"/>
        <w:jc w:val="both"/>
      </w:pPr>
      <w:r>
        <w:rPr>
          <w:rFonts w:ascii="Old Standard TT" w:hAnsi="Old Standard TT"/>
          <w:b/>
        </w:rPr>
        <w:t>E2.</w:t>
      </w:r>
      <w:r>
        <w:rPr>
          <w:rFonts w:ascii="Old Standard TT" w:hAnsi="Old Standard TT"/>
        </w:rPr>
        <w:t xml:space="preserve"> Enumerate p in {0.1,0.5,0.9}, q in {0,1/16,1/4,1/2,1}, and each conditional action probability in {0,1/4,1/2,3/4,1}. For positive support, weight each observed target by its reference-to-safe likelihood ratio. For zero support, return a partial-identification interval rather than a division by zero. At p=1/2, </w:t>
      </w:r>
      <m:oMath>
        <m:sSub>
          <m:e>
            <m:r>
              <m:t>θ</m:t>
            </m:r>
          </m:e>
          <m:sub>
            <m:r>
              <m:t>0</m:t>
            </m:r>
          </m:sub>
        </m:sSub>
      </m:oMath>
      <w:r>
        <w:rPr>
          <w:rFonts w:ascii="Old Standard TT" w:hAnsi="Old Standard TT"/>
        </w:rPr>
        <w:t xml:space="preserve">=1/4, </w:t>
      </w:r>
      <m:oMath>
        <m:sSub>
          <m:e>
            <m:r>
              <m:t>θ</m:t>
            </m:r>
          </m:e>
          <m:sub>
            <m:r>
              <m:t>1</m:t>
            </m:r>
          </m:sub>
        </m:sSub>
      </m:oMath>
      <w:r>
        <w:rPr>
          <w:rFonts w:ascii="Old Standard TT" w:hAnsi="Old Standard TT"/>
        </w:rPr>
        <w:t>=3/4, run 1,000 independent sampling replicates of n=128 at each of three positive q values. Store all count vectors and estimates; compare MSE to the analytic expression.</w:t>
      </w:r>
    </w:p>
    <w:p>
      <w:pPr>
        <w:pageBreakBefore w:val="0"/>
        <w:jc w:val="both"/>
      </w:pPr>
      <w:r>
        <w:rPr>
          <w:rFonts w:ascii="Old Standard TT" w:hAnsi="Old Standard TT"/>
          <w:b/>
        </w:rPr>
        <w:t>E3.</w:t>
      </w:r>
      <w:r>
        <w:rPr>
          <w:rFonts w:ascii="Old Standard TT" w:hAnsi="Old Standard TT"/>
        </w:rPr>
        <w:t xml:space="preserve"> Set the nominal null P(Y=1)=0.7, e(0)=5/3, e(1)=5/7, and </w:t>
      </w:r>
      <m:oMath>
        <m:r>
          <m:t>δ</m:t>
        </m:r>
      </m:oMath>
      <w:r>
        <w:rPr>
          <w:rFonts w:ascii="Old Standard TT" w:hAnsi="Old Standard TT"/>
        </w:rPr>
        <w:t>=0.05. Shift the actual probability to 0.7-eta for eta in {0,0.05,0.2}. Use an absorbing exact dynamic program through 200 rounds to compare nominal scores and scores divided by 1+eta times their oscillation. This shift can represent a specified controller-allocation error. A second control draws a single bit and caches it across rounds. Exact probability calculations are not empirical confidence intervals.</w:t>
      </w:r>
    </w:p>
    <w:p>
      <w:pPr>
        <w:pStyle w:val="Heading2"/>
        <w:pageBreakBefore/>
      </w:pPr>
      <w:r>
        <w:rPr>
          <w:rFonts w:ascii="Old Standard TT" w:hAnsi="Old Standard TT"/>
        </w:rPr>
        <w:t>4. Results</w:t>
      </w:r>
    </w:p>
    <w:p>
      <w:pPr>
        <w:pStyle w:val="Heading3"/>
        <w:pageBreakBefore w:val="0"/>
      </w:pPr>
      <w:r>
        <w:rPr>
          <w:rFonts w:ascii="Old Standard TT" w:hAnsi="Old Standard TT"/>
        </w:rPr>
        <w:t>4.1 Detectability and the target action separate in the implementation</w:t>
      </w:r>
    </w:p>
    <w:p>
      <w:pPr>
        <w:pageBreakBefore w:val="0"/>
        <w:jc w:val="both"/>
      </w:pPr>
      <w:r>
        <w:rPr>
          <w:rFonts w:ascii="Old Standard TT" w:hAnsi="Old Standard TT"/>
        </w:rPr>
        <w:t>All 960 scripted episodes completed, with zero failures or exclusions. The hand-written final diagnostic correctly classified all 768 factorial episodes and 96 of 192 balanced coherent controls (50%). These are checks of known mechanisms, not autonomous LLM discovery; repeated scripted seeds are not independent realistic tasks.</w:t>
      </w:r>
    </w:p>
    <w:p>
      <w:pPr>
        <w:pageBreakBefore w:val="0"/>
        <w:jc w:val="both"/>
      </w:pPr>
      <w:r>
        <w:rPr>
          <w:rFonts w:ascii="Old Standard TT" w:hAnsi="Old Standard TT"/>
        </w:rPr>
        <w:t>There were 384 paired cases required to have identical target inputs: after-timing pairs, zero-probe pairs, and coherent controls. All input hashes and matched scripted choices agreed. In the four-probe before condition, the explicitly programmed switching policy changed from standard to shortcut across worlds. In the after condition its earlier choice did not change, despite perfect final classification. Constant policies did not adapt in either case. This demonstrates possible separation, not a claim about intent.</w:t>
      </w:r>
    </w:p>
    <w:p>
      <w:pPr>
        <w:pStyle w:val="Heading3"/>
        <w:pageBreakBefore w:val="0"/>
      </w:pPr>
      <w:r>
        <w:rPr>
          <w:rFonts w:ascii="Old Standard TT" w:hAnsi="Old Standard TT"/>
        </w:rPr>
        <w:t>4.2 Coverage controls bias, uncertainty, and sampling cost</w:t>
      </w:r>
    </w:p>
    <w:p>
      <w:pPr>
        <w:pageBreakBefore w:val="0"/>
        <w:jc w:val="both"/>
      </w:pPr>
      <w:r>
        <w:rPr>
          <w:rFonts w:ascii="Old Standard TT" w:hAnsi="Old Standard TT"/>
        </w:rPr>
        <w:t>All 375 population cases passed 600 exact rational containment-of-target and weighting checks. At zero support, the output remains an interval of possible targets. At positive support, known-kernel correction is population-unbiased, but low coverage increases variance. Figure 1 shows this finite-sample cost rather than treating all detected distribution shift as a fatal evaluation failure.</w:t>
      </w:r>
    </w:p>
    <w:p>
      <w:pPr>
        <w:keepNext/>
        <w:spacing w:after="40"/>
        <w:jc w:val="center"/>
      </w:pPr>
      <w:r>
        <w:drawing>
          <wp:inline>
            <wp:extent cx="5577840" cy="2301966"/>
            <wp:docPr id="1" name="Picture 1"/>
            <wp:cNvGraphicFramePr>
              <a:graphicFrameLocks noChangeAspect="1"/>
            </wp:cNvGraphicFramePr>
            <a:graphic>
              <a:graphicData uri="http://schemas.openxmlformats.org/drawingml/2006/picture">
                <pic:pic>
                  <pic:nvPicPr>
                    <pic:cNvPr id="0" name="coverage_mse.png"/>
                    <pic:cNvPicPr/>
                  </pic:nvPicPr>
                  <pic:blipFill>
                    <a:blip r:embed="rId10"/>
                    <a:stretch>
                      <a:fillRect/>
                    </a:stretch>
                  </pic:blipFill>
                  <pic:spPr>
                    <a:xfrm>
                      <a:off x="0" y="0"/>
                      <a:ext cx="5577840" cy="2301966"/>
                    </a:xfrm>
                    <a:prstGeom prst="rect"/>
                  </pic:spPr>
                </pic:pic>
              </a:graphicData>
            </a:graphic>
          </wp:inline>
        </w:drawing>
      </w:r>
    </w:p>
    <w:p>
      <w:pPr>
        <w:spacing w:line="252" w:lineRule="auto" w:after="120"/>
      </w:pPr>
      <w:r>
        <w:rPr>
          <w:rFonts w:ascii="Old Standard TT" w:hAnsi="Old Standard TT"/>
          <w:sz w:val="19"/>
        </w:rPr>
        <w:t>Figure 1. MSE over 1,000 sampling replicates per q, each with 128 draws from a fixed scripted policy. The reference target is 0.5. Both curves use the same samples. These are synthetic stochastic trials, not LLM runs.</w:t>
      </w:r>
    </w:p>
    <w:p>
      <w:pPr>
        <w:keepNext/>
        <w:spacing w:line="252" w:lineRule="auto" w:after="60"/>
      </w:pPr>
      <w:r>
        <w:rPr>
          <w:rFonts w:ascii="Old Standard TT" w:hAnsi="Old Standard TT"/>
          <w:sz w:val="19"/>
        </w:rPr>
        <w:t>Table 3. Estimates from the same samples; the reference target is 0.5.</w:t>
      </w:r>
    </w:p>
    <w:tbl>
      <w:tblPr>
        <w:tblW w:type="auto" w:w="0"/>
        <w:tblLayout w:type="fixed"/>
        <w:tblLook w:firstColumn="1" w:firstRow="1" w:lastColumn="0" w:lastRow="0" w:noHBand="0" w:noVBand="1" w:val="04A0"/>
      </w:tblPr>
      <w:tblGrid>
        <w:gridCol w:w="1008"/>
        <w:gridCol w:w="1656"/>
        <w:gridCol w:w="1872"/>
        <w:gridCol w:w="1656"/>
        <w:gridCol w:w="1872"/>
      </w:tblGrid>
      <w:tr>
        <w:trPr>
          <w:cantSplit/>
        </w:trPr>
        <w:tc>
          <w:tcPr>
            <w:tcW w:type="dxa" w:w="1008"/>
            <w:tcBorders>
              <w:top w:val="single" w:sz="4" w:color="000000"/>
              <w:bottom w:val="single" w:sz="4" w:color="000000"/>
            </w:tcBorders>
          </w:tcPr>
          <w:p>
            <w:pPr>
              <w:spacing w:line="252" w:lineRule="auto" w:after="60" w:before="60"/>
            </w:pPr>
            <w:r>
              <w:rPr>
                <w:rFonts w:ascii="Old Standard TT" w:hAnsi="Old Standard TT"/>
                <w:b/>
                <w:sz w:val="19"/>
              </w:rPr>
              <w:t>Safe q</w:t>
            </w:r>
          </w:p>
        </w:tc>
        <w:tc>
          <w:tcPr>
            <w:tcW w:type="dxa" w:w="1656"/>
            <w:tcBorders>
              <w:top w:val="single" w:sz="4" w:color="000000"/>
              <w:bottom w:val="single" w:sz="4" w:color="000000"/>
            </w:tcBorders>
          </w:tcPr>
          <w:p>
            <w:pPr>
              <w:spacing w:line="252" w:lineRule="auto" w:after="60" w:before="60"/>
            </w:pPr>
            <w:r>
              <w:rPr>
                <w:rFonts w:ascii="Old Standard TT" w:hAnsi="Old Standard TT"/>
                <w:b/>
                <w:sz w:val="19"/>
              </w:rPr>
              <w:t>Naive mean</w:t>
            </w:r>
          </w:p>
        </w:tc>
        <w:tc>
          <w:tcPr>
            <w:tcW w:type="dxa" w:w="1872"/>
            <w:tcBorders>
              <w:top w:val="single" w:sz="4" w:color="000000"/>
              <w:bottom w:val="single" w:sz="4" w:color="000000"/>
            </w:tcBorders>
          </w:tcPr>
          <w:p>
            <w:pPr>
              <w:spacing w:line="252" w:lineRule="auto" w:after="60" w:before="60"/>
            </w:pPr>
            <w:r>
              <w:rPr>
                <w:rFonts w:ascii="Old Standard TT" w:hAnsi="Old Standard TT"/>
                <w:b/>
                <w:sz w:val="19"/>
              </w:rPr>
              <w:t>Weighted mean</w:t>
            </w:r>
          </w:p>
        </w:tc>
        <w:tc>
          <w:tcPr>
            <w:tcW w:type="dxa" w:w="1656"/>
            <w:tcBorders>
              <w:top w:val="single" w:sz="4" w:color="000000"/>
              <w:bottom w:val="single" w:sz="4" w:color="000000"/>
            </w:tcBorders>
          </w:tcPr>
          <w:p>
            <w:pPr>
              <w:spacing w:line="252" w:lineRule="auto" w:after="60" w:before="60"/>
            </w:pPr>
            <w:r>
              <w:rPr>
                <w:rFonts w:ascii="Old Standard TT" w:hAnsi="Old Standard TT"/>
                <w:b/>
                <w:sz w:val="19"/>
              </w:rPr>
              <w:t>Naive MSE</w:t>
            </w:r>
          </w:p>
        </w:tc>
        <w:tc>
          <w:tcPr>
            <w:tcW w:type="dxa" w:w="1872"/>
            <w:tcBorders>
              <w:top w:val="single" w:sz="4" w:color="000000"/>
              <w:bottom w:val="single" w:sz="4" w:color="000000"/>
            </w:tcBorders>
          </w:tcPr>
          <w:p>
            <w:pPr>
              <w:spacing w:line="252" w:lineRule="auto" w:after="60" w:before="60"/>
            </w:pPr>
            <w:r>
              <w:rPr>
                <w:rFonts w:ascii="Old Standard TT" w:hAnsi="Old Standard TT"/>
                <w:b/>
                <w:sz w:val="19"/>
              </w:rPr>
              <w:t>Weighted MSE</w:t>
            </w:r>
          </w:p>
        </w:tc>
      </w:tr>
      <w:tr>
        <w:trPr>
          <w:cantSplit/>
        </w:trPr>
        <w:tc>
          <w:tcPr>
            <w:tcW w:type="dxa" w:w="1008"/>
            <w:tcBorders/>
          </w:tcPr>
          <w:p>
            <w:pPr>
              <w:spacing w:line="252" w:lineRule="auto" w:after="60" w:before="60"/>
            </w:pPr>
            <w:r>
              <w:rPr>
                <w:rFonts w:ascii="Old Standard TT" w:hAnsi="Old Standard TT"/>
                <w:b w:val="0"/>
                <w:sz w:val="19"/>
              </w:rPr>
              <w:t>1/16</w:t>
            </w:r>
          </w:p>
        </w:tc>
        <w:tc>
          <w:tcPr>
            <w:tcW w:type="dxa" w:w="1656"/>
            <w:tcBorders/>
          </w:tcPr>
          <w:p>
            <w:pPr>
              <w:spacing w:line="252" w:lineRule="auto" w:after="60" w:before="60"/>
            </w:pPr>
            <w:r>
              <w:rPr>
                <w:rFonts w:ascii="Old Standard TT" w:hAnsi="Old Standard TT"/>
                <w:b w:val="0"/>
                <w:sz w:val="19"/>
              </w:rPr>
              <w:t>0.28309</w:t>
            </w:r>
          </w:p>
        </w:tc>
        <w:tc>
          <w:tcPr>
            <w:tcW w:type="dxa" w:w="1872"/>
            <w:tcBorders/>
          </w:tcPr>
          <w:p>
            <w:pPr>
              <w:spacing w:line="252" w:lineRule="auto" w:after="60" w:before="60"/>
            </w:pPr>
            <w:r>
              <w:rPr>
                <w:rFonts w:ascii="Old Standard TT" w:hAnsi="Old Standard TT"/>
                <w:b w:val="0"/>
                <w:sz w:val="19"/>
              </w:rPr>
              <w:t>0.50570</w:t>
            </w:r>
          </w:p>
        </w:tc>
        <w:tc>
          <w:tcPr>
            <w:tcW w:type="dxa" w:w="1656"/>
            <w:tcBorders/>
          </w:tcPr>
          <w:p>
            <w:pPr>
              <w:spacing w:line="252" w:lineRule="auto" w:after="60" w:before="60"/>
            </w:pPr>
            <w:r>
              <w:rPr>
                <w:rFonts w:ascii="Old Standard TT" w:hAnsi="Old Standard TT"/>
                <w:b w:val="0"/>
                <w:sz w:val="19"/>
              </w:rPr>
              <w:t>0.04863</w:t>
            </w:r>
          </w:p>
        </w:tc>
        <w:tc>
          <w:tcPr>
            <w:tcW w:type="dxa" w:w="1872"/>
            <w:tcBorders/>
          </w:tcPr>
          <w:p>
            <w:pPr>
              <w:spacing w:line="252" w:lineRule="auto" w:after="60" w:before="60"/>
            </w:pPr>
            <w:r>
              <w:rPr>
                <w:rFonts w:ascii="Old Standard TT" w:hAnsi="Old Standard TT"/>
                <w:b w:val="0"/>
                <w:sz w:val="19"/>
              </w:rPr>
              <w:t>0.02125</w:t>
            </w:r>
          </w:p>
        </w:tc>
      </w:tr>
      <w:tr>
        <w:trPr>
          <w:cantSplit/>
        </w:trPr>
        <w:tc>
          <w:tcPr>
            <w:tcW w:type="dxa" w:w="1008"/>
            <w:tcBorders/>
          </w:tcPr>
          <w:p>
            <w:pPr>
              <w:spacing w:line="252" w:lineRule="auto" w:after="60" w:before="60"/>
            </w:pPr>
            <w:r>
              <w:rPr>
                <w:rFonts w:ascii="Old Standard TT" w:hAnsi="Old Standard TT"/>
                <w:b w:val="0"/>
                <w:sz w:val="19"/>
              </w:rPr>
              <w:t>1/4</w:t>
            </w:r>
          </w:p>
        </w:tc>
        <w:tc>
          <w:tcPr>
            <w:tcW w:type="dxa" w:w="1656"/>
            <w:tcBorders/>
          </w:tcPr>
          <w:p>
            <w:pPr>
              <w:spacing w:line="252" w:lineRule="auto" w:after="60" w:before="60"/>
            </w:pPr>
            <w:r>
              <w:rPr>
                <w:rFonts w:ascii="Old Standard TT" w:hAnsi="Old Standard TT"/>
                <w:b w:val="0"/>
                <w:sz w:val="19"/>
              </w:rPr>
              <w:t>0.37458</w:t>
            </w:r>
          </w:p>
        </w:tc>
        <w:tc>
          <w:tcPr>
            <w:tcW w:type="dxa" w:w="1872"/>
            <w:tcBorders/>
          </w:tcPr>
          <w:p>
            <w:pPr>
              <w:spacing w:line="252" w:lineRule="auto" w:after="60" w:before="60"/>
            </w:pPr>
            <w:r>
              <w:rPr>
                <w:rFonts w:ascii="Old Standard TT" w:hAnsi="Old Standard TT"/>
                <w:b w:val="0"/>
                <w:sz w:val="19"/>
              </w:rPr>
              <w:t>0.50152</w:t>
            </w:r>
          </w:p>
        </w:tc>
        <w:tc>
          <w:tcPr>
            <w:tcW w:type="dxa" w:w="1656"/>
            <w:tcBorders/>
          </w:tcPr>
          <w:p>
            <w:pPr>
              <w:spacing w:line="252" w:lineRule="auto" w:after="60" w:before="60"/>
            </w:pPr>
            <w:r>
              <w:rPr>
                <w:rFonts w:ascii="Old Standard TT" w:hAnsi="Old Standard TT"/>
                <w:b w:val="0"/>
                <w:sz w:val="19"/>
              </w:rPr>
              <w:t>0.01747</w:t>
            </w:r>
          </w:p>
        </w:tc>
        <w:tc>
          <w:tcPr>
            <w:tcW w:type="dxa" w:w="1872"/>
            <w:tcBorders/>
          </w:tcPr>
          <w:p>
            <w:pPr>
              <w:spacing w:line="252" w:lineRule="auto" w:after="60" w:before="60"/>
            </w:pPr>
            <w:r>
              <w:rPr>
                <w:rFonts w:ascii="Old Standard TT" w:hAnsi="Old Standard TT"/>
                <w:b w:val="0"/>
                <w:sz w:val="19"/>
              </w:rPr>
              <w:t>0.00454</w:t>
            </w:r>
          </w:p>
        </w:tc>
      </w:tr>
      <w:tr>
        <w:trPr>
          <w:cantSplit/>
        </w:trPr>
        <w:tc>
          <w:tcPr>
            <w:tcW w:type="dxa" w:w="1008"/>
            <w:tcBorders>
              <w:bottom w:val="single" w:sz="4" w:color="000000"/>
            </w:tcBorders>
          </w:tcPr>
          <w:p>
            <w:pPr>
              <w:spacing w:line="252" w:lineRule="auto" w:after="60" w:before="60"/>
            </w:pPr>
            <w:r>
              <w:rPr>
                <w:rFonts w:ascii="Old Standard TT" w:hAnsi="Old Standard TT"/>
                <w:b w:val="0"/>
                <w:sz w:val="19"/>
              </w:rPr>
              <w:t>1/2</w:t>
            </w:r>
          </w:p>
        </w:tc>
        <w:tc>
          <w:tcPr>
            <w:tcW w:type="dxa" w:w="1656"/>
            <w:tcBorders>
              <w:bottom w:val="single" w:sz="4" w:color="000000"/>
            </w:tcBorders>
          </w:tcPr>
          <w:p>
            <w:pPr>
              <w:spacing w:line="252" w:lineRule="auto" w:after="60" w:before="60"/>
            </w:pPr>
            <w:r>
              <w:rPr>
                <w:rFonts w:ascii="Old Standard TT" w:hAnsi="Old Standard TT"/>
                <w:b w:val="0"/>
                <w:sz w:val="19"/>
              </w:rPr>
              <w:t>0.49816</w:t>
            </w:r>
          </w:p>
        </w:tc>
        <w:tc>
          <w:tcPr>
            <w:tcW w:type="dxa" w:w="1872"/>
            <w:tcBorders>
              <w:bottom w:val="single" w:sz="4" w:color="000000"/>
            </w:tcBorders>
          </w:tcPr>
          <w:p>
            <w:pPr>
              <w:spacing w:line="252" w:lineRule="auto" w:after="60" w:before="60"/>
            </w:pPr>
            <w:r>
              <w:rPr>
                <w:rFonts w:ascii="Old Standard TT" w:hAnsi="Old Standard TT"/>
                <w:b w:val="0"/>
                <w:sz w:val="19"/>
              </w:rPr>
              <w:t>0.49816</w:t>
            </w:r>
          </w:p>
        </w:tc>
        <w:tc>
          <w:tcPr>
            <w:tcW w:type="dxa" w:w="1656"/>
            <w:tcBorders>
              <w:bottom w:val="single" w:sz="4" w:color="000000"/>
            </w:tcBorders>
          </w:tcPr>
          <w:p>
            <w:pPr>
              <w:spacing w:line="252" w:lineRule="auto" w:after="60" w:before="60"/>
            </w:pPr>
            <w:r>
              <w:rPr>
                <w:rFonts w:ascii="Old Standard TT" w:hAnsi="Old Standard TT"/>
                <w:b w:val="0"/>
                <w:sz w:val="19"/>
              </w:rPr>
              <w:t>0.00192</w:t>
            </w:r>
          </w:p>
        </w:tc>
        <w:tc>
          <w:tcPr>
            <w:tcW w:type="dxa" w:w="1872"/>
            <w:tcBorders>
              <w:bottom w:val="single" w:sz="4" w:color="000000"/>
            </w:tcBorders>
          </w:tcPr>
          <w:p>
            <w:pPr>
              <w:spacing w:line="252" w:lineRule="auto" w:after="60" w:before="60"/>
            </w:pPr>
            <w:r>
              <w:rPr>
                <w:rFonts w:ascii="Old Standard TT" w:hAnsi="Old Standard TT"/>
                <w:b w:val="0"/>
                <w:sz w:val="19"/>
              </w:rPr>
              <w:t>0.00192</w:t>
            </w:r>
          </w:p>
        </w:tc>
      </w:tr>
    </w:tbl>
    <w:p>
      <w:pPr>
        <w:spacing w:after="40" w:line="20" w:lineRule="exact"/>
      </w:pPr>
      <w:r>
        <w:rPr>
          <w:sz w:val="2"/>
        </w:rPr>
      </w:r>
    </w:p>
    <w:p>
      <w:pPr>
        <w:pageBreakBefore w:val="0"/>
        <w:jc w:val="both"/>
      </w:pPr>
      <w:r>
        <w:rPr>
          <w:rFonts w:ascii="Old Standard TT" w:hAnsi="Old Standard TT"/>
        </w:rPr>
        <w:t>All 3,000 replicates and 384,000 draws were retained without failures. At q=1/16, analytic weighted MSE is 169/7680, versus 0.02125 observed. At q=1/2, both estimators coincide.</w:t>
      </w:r>
    </w:p>
    <w:p>
      <w:pPr>
        <w:pStyle w:val="Heading3"/>
        <w:pageBreakBefore/>
      </w:pPr>
      <w:r>
        <w:rPr>
          <w:rFonts w:ascii="Old Standard TT" w:hAnsi="Old Standard TT"/>
        </w:rPr>
        <w:t>4.3 Small assumption failures can invalidate a clean-run certificate</w:t>
      </w:r>
    </w:p>
    <w:p>
      <w:pPr>
        <w:pageBreakBefore w:val="0"/>
        <w:jc w:val="both"/>
      </w:pPr>
      <w:r>
        <w:rPr>
          <w:rFonts w:ascii="Old Standard TT" w:hAnsi="Old Standard TT"/>
        </w:rPr>
        <w:t>At eta=0, the exact false-certificate probability by round 200 is 0.039936 under both procedures, below 0.05. A probability shift of 0.05 raises the nominal crossing probability to 0.201990. A shift of 0.20 raises it to 0.997754. Conditional correction keeps the corresponding probabilities at 0.040535 and 0.042852. All six dynamic programs conserve total probability exactly.</w:t>
      </w:r>
    </w:p>
    <w:p>
      <w:pPr>
        <w:keepNext/>
        <w:spacing w:after="40"/>
        <w:jc w:val="center"/>
      </w:pPr>
      <w:r>
        <w:drawing>
          <wp:inline>
            <wp:extent cx="5577840" cy="2301966"/>
            <wp:docPr id="2" name="Picture 2"/>
            <wp:cNvGraphicFramePr>
              <a:graphicFrameLocks noChangeAspect="1"/>
            </wp:cNvGraphicFramePr>
            <a:graphic>
              <a:graphicData uri="http://schemas.openxmlformats.org/drawingml/2006/picture">
                <pic:pic>
                  <pic:nvPicPr>
                    <pic:cNvPr id="0" name="robustness.png"/>
                    <pic:cNvPicPr/>
                  </pic:nvPicPr>
                  <pic:blipFill>
                    <a:blip r:embed="rId11"/>
                    <a:stretch>
                      <a:fillRect/>
                    </a:stretch>
                  </pic:blipFill>
                  <pic:spPr>
                    <a:xfrm>
                      <a:off x="0" y="0"/>
                      <a:ext cx="5577840" cy="2301966"/>
                    </a:xfrm>
                    <a:prstGeom prst="rect"/>
                  </pic:spPr>
                </pic:pic>
              </a:graphicData>
            </a:graphic>
          </wp:inline>
        </w:drawing>
      </w:r>
    </w:p>
    <w:p>
      <w:pPr>
        <w:spacing w:line="252" w:lineRule="auto" w:after="120"/>
      </w:pPr>
      <w:r>
        <w:rPr>
          <w:rFonts w:ascii="Old Standard TT" w:hAnsi="Old Standard TT"/>
          <w:sz w:val="19"/>
        </w:rPr>
        <w:t>Figure 2. Exact probability of crossing threshold 20 by round 200. Nominal evidence becomes invalid under the injected probability shift. Correction uses the known conditional total-variation envelope of this synthetic fault, not an envelope estimated for a real deployment. These are exact calculations, not LLM observations.</w:t>
      </w:r>
    </w:p>
    <w:p>
      <w:pPr>
        <w:pageBreakBefore w:val="0"/>
        <w:jc w:val="both"/>
      </w:pPr>
      <w:r>
        <w:rPr>
          <w:rFonts w:ascii="Old Standard TT" w:hAnsi="Old Standard TT"/>
        </w:rPr>
        <w:t>The cached-bit control has exactly the nominal marginal at every round, yet its nominal eventual crossing probability is 0.3; the first possible crossing is round six. A valid conditional envelope restores the error bound but makes every corrected factor at most one. The result is no certificate, not a declaration of safety. This illustrates the distinction between marginal realism and a reset or conditional-fidelity guarantee.</w:t>
      </w:r>
    </w:p>
    <w:p>
      <w:pPr>
        <w:pageBreakBefore w:val="0"/>
        <w:jc w:val="both"/>
      </w:pPr>
      <w:r>
        <w:rPr>
          <w:rFonts w:ascii="Old Standard TT" w:hAnsi="Old Standard TT"/>
        </w:rPr>
        <w:t>The inherited v5 checkers revalidated 2,031 rational constraints across 38 cases. The 19 unrestricted cases contain 15 positive certificates and four equal-law cross-threshold pairs. Their artificially restricted counterparts contain 18 and one. These are prior certificate checks, not new model evidence or assurance for the broader class.</w:t>
      </w:r>
    </w:p>
    <w:p>
      <w:pPr>
        <w:pStyle w:val="Heading3"/>
        <w:pageBreakBefore w:val="0"/>
      </w:pPr>
      <w:r>
        <w:rPr>
          <w:rFonts w:ascii="Old Standard TT" w:hAnsi="Old Standard TT"/>
        </w:rPr>
        <w:t>4.4 Language-model evidence remains unmeasured</w:t>
      </w:r>
    </w:p>
    <w:p>
      <w:pPr>
        <w:pageBreakBefore w:val="0"/>
        <w:jc w:val="both"/>
      </w:pPr>
      <w:r>
        <w:rPr>
          <w:rFonts w:ascii="Old Standard TT" w:hAnsi="Old Standard TT"/>
        </w:rPr>
        <w:t>No evaluated LLM request was made. Codex saved two new smoke-test cohorts (12 mock episodes and 36 mock requests each); an inherited cohort has the same counts. All 36 saved mock episodes are transport fixtures, excluded from scientific model claims. Exact model IDs and spending authorization remain absent; real-provider compatibility needs a separate authorized pilot.</w:t>
      </w:r>
    </w:p>
    <w:p>
      <w:pPr>
        <w:pageBreakBefore w:val="0"/>
        <w:jc w:val="both"/>
      </w:pPr>
      <w:r>
        <w:rPr>
          <w:rFonts w:ascii="Old Standard TT" w:hAnsi="Old Standard TT"/>
        </w:rPr>
        <w:t>The two-model plan has 480 episodes and at most 2,592 requests without retries. Outcomes include classification, Brier score, calibration, probes, and shortcut choices. Both probability reports follow commitment; neither is treated as an internal belief. Consistent compliance remains a valid result, not a reason to change incentives.</w:t>
      </w:r>
    </w:p>
    <w:p>
      <w:pPr>
        <w:pStyle w:val="Heading2"/>
        <w:pageBreakBefore/>
      </w:pPr>
      <w:r>
        <w:rPr>
          <w:rFonts w:ascii="Old Standard TT" w:hAnsi="Old Standard TT"/>
        </w:rPr>
        <w:t>5. Discussion and Limitations</w:t>
      </w:r>
    </w:p>
    <w:p>
      <w:pPr>
        <w:pageBreakBefore w:val="0"/>
        <w:jc w:val="both"/>
      </w:pPr>
      <w:r>
        <w:rPr>
          <w:rFonts w:ascii="Old Standard TT" w:hAnsi="Old Standard TT"/>
          <w:b/>
        </w:rPr>
        <w:t>What the findings establish.</w:t>
      </w:r>
      <w:r>
        <w:rPr>
          <w:rFonts w:ascii="Old Standard TT" w:hAnsi="Old Standard TT"/>
        </w:rPr>
        <w:t xml:space="preserve"> The artifact separates final classification from a prior decision, structural ignorance from frequency shift, and a nominal certificate from one robust to specified faults. These are mechanism and procedure results, not evidence that a particular model is deceptive.</w:t>
      </w:r>
    </w:p>
    <w:p>
      <w:pPr>
        <w:pageBreakBefore w:val="0"/>
        <w:jc w:val="both"/>
      </w:pPr>
      <w:r>
        <w:rPr>
          <w:rFonts w:ascii="Old Standard TT" w:hAnsi="Old Standard TT"/>
          <w:b/>
        </w:rPr>
        <w:t>Use in an evaluation.</w:t>
      </w:r>
      <w:r>
        <w:rPr>
          <w:rFonts w:ascii="Old Standard TT" w:hAnsi="Old Standard TT"/>
        </w:rPr>
        <w:t xml:space="preserve"> Record the target action and decision time, preceding evidence channels, permitted controllers, reset policy, and justified coverage or conditional-error bounds. The artifact returns an assumption-qualified estimate, an evidence rule, or an unresolved interval/counterexample. An unresolved result identifies what extra evidence is needed.</w:t>
      </w:r>
    </w:p>
    <w:p>
      <w:pPr>
        <w:keepNext/>
        <w:spacing w:line="252" w:lineRule="auto" w:after="60"/>
      </w:pPr>
      <w:r>
        <w:rPr>
          <w:rFonts w:ascii="Old Standard TT" w:hAnsi="Old Standard TT"/>
          <w:sz w:val="19"/>
        </w:rPr>
        <w:t>Table 4. A minimal evidence card for a specified behavioral claim.</w:t>
      </w:r>
    </w:p>
    <w:tbl>
      <w:tblPr>
        <w:tblW w:type="auto" w:w="0"/>
        <w:tblLayout w:type="fixed"/>
        <w:tblLook w:firstColumn="1" w:firstRow="1" w:lastColumn="0" w:lastRow="0" w:noHBand="0" w:noVBand="1" w:val="04A0"/>
      </w:tblPr>
      <w:tblGrid>
        <w:gridCol w:w="1800"/>
        <w:gridCol w:w="7200"/>
      </w:tblGrid>
      <w:tr>
        <w:trPr>
          <w:cantSplit/>
        </w:trPr>
        <w:tc>
          <w:tcPr>
            <w:tcW w:type="dxa" w:w="1800"/>
            <w:tcBorders>
              <w:top w:val="single" w:sz="4" w:color="000000"/>
              <w:bottom w:val="single" w:sz="4" w:color="000000"/>
            </w:tcBorders>
          </w:tcPr>
          <w:p>
            <w:pPr>
              <w:spacing w:line="252" w:lineRule="auto" w:after="60" w:before="60"/>
            </w:pPr>
            <w:r>
              <w:rPr>
                <w:rFonts w:ascii="Old Standard TT" w:hAnsi="Old Standard TT"/>
                <w:b/>
                <w:sz w:val="19"/>
              </w:rPr>
              <w:t>Evidence-card field</w:t>
            </w:r>
          </w:p>
        </w:tc>
        <w:tc>
          <w:tcPr>
            <w:tcW w:type="dxa" w:w="7200"/>
            <w:tcBorders>
              <w:top w:val="single" w:sz="4" w:color="000000"/>
              <w:bottom w:val="single" w:sz="4" w:color="000000"/>
            </w:tcBorders>
          </w:tcPr>
          <w:p>
            <w:pPr>
              <w:spacing w:line="252" w:lineRule="auto" w:after="60" w:before="60"/>
            </w:pPr>
            <w:r>
              <w:rPr>
                <w:rFonts w:ascii="Old Standard TT" w:hAnsi="Old Standard TT"/>
                <w:b/>
                <w:sz w:val="19"/>
              </w:rPr>
              <w:t>Required content</w:t>
            </w:r>
          </w:p>
        </w:tc>
      </w:tr>
      <w:tr>
        <w:trPr>
          <w:cantSplit/>
        </w:trPr>
        <w:tc>
          <w:tcPr>
            <w:tcW w:type="dxa" w:w="1800"/>
            <w:tcBorders/>
          </w:tcPr>
          <w:p>
            <w:pPr>
              <w:spacing w:line="252" w:lineRule="auto" w:after="60" w:before="60"/>
            </w:pPr>
            <w:r>
              <w:rPr>
                <w:rFonts w:ascii="Old Standard TT" w:hAnsi="Old Standard TT"/>
                <w:b w:val="0"/>
                <w:sz w:val="19"/>
              </w:rPr>
              <w:t>Target</w:t>
            </w:r>
          </w:p>
        </w:tc>
        <w:tc>
          <w:tcPr>
            <w:tcW w:type="dxa" w:w="7200"/>
            <w:tcBorders/>
          </w:tcPr>
          <w:p>
            <w:pPr>
              <w:spacing w:line="252" w:lineRule="auto" w:after="60" w:before="60"/>
            </w:pPr>
            <w:r>
              <w:rPr>
                <w:rFonts w:ascii="Old Standard TT" w:hAnsi="Old Standard TT"/>
                <w:b w:val="0"/>
                <w:sz w:val="19"/>
              </w:rPr>
              <w:t>One observable behavior and its decision horizon</w:t>
            </w:r>
          </w:p>
        </w:tc>
      </w:tr>
      <w:tr>
        <w:trPr>
          <w:cantSplit/>
        </w:trPr>
        <w:tc>
          <w:tcPr>
            <w:tcW w:type="dxa" w:w="1800"/>
            <w:tcBorders/>
          </w:tcPr>
          <w:p>
            <w:pPr>
              <w:spacing w:line="252" w:lineRule="auto" w:after="60" w:before="60"/>
            </w:pPr>
            <w:r>
              <w:rPr>
                <w:rFonts w:ascii="Old Standard TT" w:hAnsi="Old Standard TT"/>
                <w:b w:val="0"/>
                <w:sz w:val="19"/>
              </w:rPr>
              <w:t>Coverage</w:t>
            </w:r>
          </w:p>
        </w:tc>
        <w:tc>
          <w:tcPr>
            <w:tcW w:type="dxa" w:w="7200"/>
            <w:tcBorders/>
          </w:tcPr>
          <w:p>
            <w:pPr>
              <w:spacing w:line="252" w:lineRule="auto" w:after="60" w:before="60"/>
            </w:pPr>
            <w:r>
              <w:rPr>
                <w:rFonts w:ascii="Old Standard TT" w:hAnsi="Old Standard TT"/>
                <w:b w:val="0"/>
                <w:sz w:val="19"/>
              </w:rPr>
              <w:t>Which relevant histories are accessible; what is assumed about missing mass</w:t>
            </w:r>
          </w:p>
        </w:tc>
      </w:tr>
      <w:tr>
        <w:trPr>
          <w:cantSplit/>
        </w:trPr>
        <w:tc>
          <w:tcPr>
            <w:tcW w:type="dxa" w:w="1800"/>
            <w:tcBorders/>
          </w:tcPr>
          <w:p>
            <w:pPr>
              <w:spacing w:line="252" w:lineRule="auto" w:after="60" w:before="60"/>
            </w:pPr>
            <w:r>
              <w:rPr>
                <w:rFonts w:ascii="Old Standard TT" w:hAnsi="Old Standard TT"/>
                <w:b w:val="0"/>
                <w:sz w:val="19"/>
              </w:rPr>
              <w:t>Procedure</w:t>
            </w:r>
          </w:p>
        </w:tc>
        <w:tc>
          <w:tcPr>
            <w:tcW w:type="dxa" w:w="7200"/>
            <w:tcBorders/>
          </w:tcPr>
          <w:p>
            <w:pPr>
              <w:spacing w:line="252" w:lineRule="auto" w:after="60" w:before="60"/>
            </w:pPr>
            <w:r>
              <w:rPr>
                <w:rFonts w:ascii="Old Standard TT" w:hAnsi="Old Standard TT"/>
                <w:b w:val="0"/>
                <w:sz w:val="19"/>
              </w:rPr>
              <w:t>Controller allocation, scoring, reset, and stopping rules</w:t>
            </w:r>
          </w:p>
        </w:tc>
      </w:tr>
      <w:tr>
        <w:trPr>
          <w:cantSplit/>
        </w:trPr>
        <w:tc>
          <w:tcPr>
            <w:tcW w:type="dxa" w:w="1800"/>
            <w:tcBorders>
              <w:bottom w:val="single" w:sz="4" w:color="000000"/>
            </w:tcBorders>
          </w:tcPr>
          <w:p>
            <w:pPr>
              <w:spacing w:line="252" w:lineRule="auto" w:after="60" w:before="60"/>
            </w:pPr>
            <w:r>
              <w:rPr>
                <w:rFonts w:ascii="Old Standard TT" w:hAnsi="Old Standard TT"/>
                <w:b w:val="0"/>
                <w:sz w:val="19"/>
              </w:rPr>
              <w:t>Evidence</w:t>
            </w:r>
          </w:p>
        </w:tc>
        <w:tc>
          <w:tcPr>
            <w:tcW w:type="dxa" w:w="7200"/>
            <w:tcBorders>
              <w:bottom w:val="single" w:sz="4" w:color="000000"/>
            </w:tcBorders>
          </w:tcPr>
          <w:p>
            <w:pPr>
              <w:spacing w:line="252" w:lineRule="auto" w:after="60" w:before="60"/>
            </w:pPr>
            <w:r>
              <w:rPr>
                <w:rFonts w:ascii="Old Standard TT" w:hAnsi="Old Standard TT"/>
                <w:b w:val="0"/>
                <w:sz w:val="19"/>
              </w:rPr>
              <w:t>Raw records, denominators, error bounds, and unresolved cases</w:t>
            </w:r>
          </w:p>
        </w:tc>
      </w:tr>
    </w:tbl>
    <w:p>
      <w:pPr>
        <w:spacing w:after="40" w:line="20" w:lineRule="exact"/>
      </w:pPr>
      <w:r>
        <w:rPr>
          <w:sz w:val="2"/>
        </w:rPr>
      </w:r>
    </w:p>
    <w:p>
      <w:pPr>
        <w:pageBreakBefore w:val="0"/>
        <w:jc w:val="both"/>
      </w:pPr>
      <w:r>
        <w:rPr>
          <w:rFonts w:ascii="Old Standard TT" w:hAnsi="Old Standard TT"/>
          <w:b/>
        </w:rPr>
        <w:t>Limits.</w:t>
      </w:r>
      <w:r>
        <w:rPr>
          <w:rFonts w:ascii="Old Standard TT" w:hAnsi="Old Standard TT"/>
        </w:rPr>
        <w:t xml:space="preserve"> The finite tree can be exponentially large. Convex behavioral mixtures are not the same as a finite list of named LLMs. Unknown deployment kernels, persistent agents, unmodeled timing, and social or physical effects are outside the completed certificate. Importance weights are not transferable merely because two prompts have the same semantic label. Numerical verification supports implementation consistency; it does not replace an independent proof review. Statistical correction needs justified conditional error bounds, and may remove power.</w:t>
      </w:r>
    </w:p>
    <w:p>
      <w:pPr>
        <w:pageBreakBefore w:val="0"/>
        <w:jc w:val="both"/>
      </w:pPr>
      <w:r>
        <w:rPr>
          <w:rFonts w:ascii="Old Standard TT" w:hAnsi="Old Standard TT"/>
          <w:b/>
        </w:rPr>
        <w:t>Impact and novelty.</w:t>
      </w:r>
      <w:r>
        <w:rPr>
          <w:rFonts w:ascii="Old Standard TT" w:hAnsi="Old Standard TT"/>
        </w:rPr>
        <w:t xml:space="preserve"> Judge a behavioral claim by the evidence available before its target, not by a standalone sandbox-detection score. Coupling, realization plans, convex testing, and e-processes have established precedents [7–12]. Our scoped contribution is their containment-relative evidence contract and executable audit. Live model evidence and an authorized audit remain future work.</w:t>
      </w:r>
    </w:p>
    <w:p>
      <w:pPr>
        <w:pStyle w:val="Heading2"/>
        <w:pageBreakBefore w:val="0"/>
      </w:pPr>
      <w:r>
        <w:rPr>
          <w:rFonts w:ascii="Old Standard TT" w:hAnsi="Old Standard TT"/>
        </w:rPr>
        <w:t>6. Conclusion</w:t>
      </w:r>
    </w:p>
    <w:p>
      <w:pPr>
        <w:pageBreakBefore w:val="0"/>
        <w:jc w:val="both"/>
      </w:pPr>
      <w:r>
        <w:rPr>
          <w:rFonts w:ascii="Old Standard TT" w:hAnsi="Old Standard TT"/>
        </w:rPr>
        <w:t>A detectable simulator can support some behavioral claims and fail to identify others. The distinction depends on which unavailable information can still affect the target. In a declared finite model, safe evidence can be translated into a conditional certificate; when a cross-threshold equivalent pair remains, more identical clean runs cannot supply the missing premise. Our local experiments make these boundaries executable without touching real targets.</w:t>
      </w:r>
    </w:p>
    <w:p>
      <w:pPr>
        <w:pStyle w:val="Heading2"/>
        <w:pageBreakBefore w:val="0"/>
      </w:pPr>
      <w:r>
        <w:rPr>
          <w:rFonts w:ascii="Old Standard TT" w:hAnsi="Old Standard TT"/>
        </w:rPr>
        <w:t>Code and Data</w:t>
      </w:r>
    </w:p>
    <w:p>
      <w:pPr>
        <w:pageBreakBefore w:val="0"/>
        <w:jc w:val="both"/>
      </w:pPr>
      <w:r>
        <w:rPr>
          <w:rFonts w:ascii="Old Standard TT" w:hAnsi="Old Standard TT"/>
        </w:rPr>
        <w:t>The companion release contains code, immutable records, figures, source files, an evidence audit, and a SHA-256 manifest. Regenerated PDF, DOCX, and Markdown correspond to the same revised source. No public repository was created. Author confirmation, affiliation, an accepted artifact attachment or URL, and human review remain submission gates.</w:t>
      </w:r>
    </w:p>
    <w:p>
      <w:pPr>
        <w:pStyle w:val="Heading2"/>
        <w:pageBreakBefore/>
      </w:pPr>
      <w:r>
        <w:rPr>
          <w:rFonts w:ascii="Old Standard TT" w:hAnsi="Old Standard TT"/>
        </w:rPr>
        <w:t>References</w:t>
      </w:r>
    </w:p>
    <w:p>
      <w:pPr>
        <w:spacing w:after="120" w:line="259" w:lineRule="auto"/>
      </w:pPr>
      <w:r>
        <w:rPr>
          <w:rFonts w:ascii="Old Standard TT" w:hAnsi="Old Standard TT"/>
          <w:b/>
          <w:sz w:val="19"/>
        </w:rPr>
        <w:t>[1]</w:t>
      </w:r>
      <w:r>
        <w:rPr>
          <w:rFonts w:ascii="Old Standard TT" w:hAnsi="Old Standard TT"/>
          <w:sz w:val="19"/>
        </w:rPr>
        <w:t xml:space="preserve"> Penumbra: Sandboxing Autonomous Agents by Measuring, Not Assuming, Indistinguishability. Undated supplied manuscript, paper (1).pdf; Section 2, Definition 1, p. 3; Section 5, Proposition 1, p. 7. Author and venue are not stated in the PDF. Matching public text: https://vanshverma.com/research/penumbra/html</w:t>
      </w:r>
    </w:p>
    <w:p>
      <w:pPr>
        <w:spacing w:after="120" w:line="259" w:lineRule="auto"/>
      </w:pPr>
      <w:r>
        <w:rPr>
          <w:rFonts w:ascii="Old Standard TT" w:hAnsi="Old Standard TT"/>
          <w:b/>
          <w:sz w:val="19"/>
        </w:rPr>
        <w:t>[2]</w:t>
      </w:r>
      <w:r>
        <w:rPr>
          <w:rFonts w:ascii="Old Standard TT" w:hAnsi="Old Standard TT"/>
          <w:sz w:val="19"/>
        </w:rPr>
        <w:t xml:space="preserve"> Rudolf Laine et al. 2024. Me, Myself, and AI: The Situational Awareness Dataset (SAD) for LLMs. arXiv:2407.04694v1, Section 2.1. https://arxiv.org/abs/2407.04694</w:t>
      </w:r>
    </w:p>
    <w:p>
      <w:pPr>
        <w:spacing w:after="120" w:line="259" w:lineRule="auto"/>
      </w:pPr>
      <w:r>
        <w:rPr>
          <w:rFonts w:ascii="Old Standard TT" w:hAnsi="Old Standard TT"/>
          <w:b/>
          <w:sz w:val="19"/>
        </w:rPr>
        <w:t>[3]</w:t>
      </w:r>
      <w:r>
        <w:rPr>
          <w:rFonts w:ascii="Old Standard TT" w:hAnsi="Old Standard TT"/>
          <w:sz w:val="19"/>
        </w:rPr>
        <w:t xml:space="preserve"> Sanyu Rajakumar and Rudolf Laine. Eliciting Situational Awareness in Large Language Models Through Fine-Tuning and In-Context Mechanisms. Undated supplied manuscript; Section 3.2, pp. 4-5. Public version/date not established for this exact PDF; see the source audit.</w:t>
      </w:r>
    </w:p>
    <w:p>
      <w:pPr>
        <w:spacing w:after="120" w:line="259" w:lineRule="auto"/>
      </w:pPr>
      <w:r>
        <w:rPr>
          <w:rFonts w:ascii="Old Standard TT" w:hAnsi="Old Standard TT"/>
          <w:b/>
          <w:sz w:val="19"/>
        </w:rPr>
        <w:t>[4]</w:t>
      </w:r>
      <w:r>
        <w:rPr>
          <w:rFonts w:ascii="Old Standard TT" w:hAnsi="Old Standard TT"/>
          <w:sz w:val="19"/>
        </w:rPr>
        <w:t xml:space="preserve"> Teun van der Weij, Felix Hofstätter, Oliver Jaffe, Samuel F. Brown, and Francis Rhys Ward. 2025. AI Sandbagging: Language Models Can Strategically Underperform on Evaluations. ICLR 2025; arXiv:2406.07358v4. https://arxiv.org/abs/2406.07358</w:t>
      </w:r>
    </w:p>
    <w:p>
      <w:pPr>
        <w:spacing w:after="120" w:line="259" w:lineRule="auto"/>
      </w:pPr>
      <w:r>
        <w:rPr>
          <w:rFonts w:ascii="Old Standard TT" w:hAnsi="Old Standard TT"/>
          <w:b/>
          <w:sz w:val="19"/>
        </w:rPr>
        <w:t>[5]</w:t>
      </w:r>
      <w:r>
        <w:rPr>
          <w:rFonts w:ascii="Old Standard TT" w:hAnsi="Old Standard TT"/>
          <w:sz w:val="19"/>
        </w:rPr>
        <w:t xml:space="preserve"> Vojtěch Kovařík, Eric Olav Chen, Sami Petersen, Alexis Ghersengorin, and Vincent Conitzer. 2025. AI Testing Should Account for Sophisticated Strategic Behaviour. arXiv:2508.14927v1, Section 3.1.4. https://arxiv.org/abs/2508.14927</w:t>
      </w:r>
    </w:p>
    <w:p>
      <w:pPr>
        <w:spacing w:after="120" w:line="259" w:lineRule="auto"/>
      </w:pPr>
      <w:r>
        <w:rPr>
          <w:rFonts w:ascii="Old Standard TT" w:hAnsi="Old Standard TT"/>
          <w:b/>
          <w:sz w:val="19"/>
        </w:rPr>
        <w:t>[6]</w:t>
      </w:r>
      <w:r>
        <w:rPr>
          <w:rFonts w:ascii="Old Standard TT" w:hAnsi="Old Standard TT"/>
          <w:sz w:val="19"/>
        </w:rPr>
        <w:t xml:space="preserve"> Tomek Korbak, Mikita Balesni, Buck Shlegeris, and Geoffrey Irving. 2025. How to evaluate control measures for LLM agents? A trajectory from today to superintelligence. arXiv:2504.05259v1, Section 2.7. https://arxiv.org/abs/2504.05259</w:t>
      </w:r>
    </w:p>
    <w:p>
      <w:pPr>
        <w:spacing w:after="120" w:line="259" w:lineRule="auto"/>
      </w:pPr>
      <w:r>
        <w:rPr>
          <w:rFonts w:ascii="Old Standard TT" w:hAnsi="Old Standard TT"/>
          <w:b/>
          <w:sz w:val="19"/>
        </w:rPr>
        <w:t>[7]</w:t>
      </w:r>
      <w:r>
        <w:rPr>
          <w:rFonts w:ascii="Old Standard TT" w:hAnsi="Old Standard TT"/>
          <w:sz w:val="19"/>
        </w:rPr>
        <w:t xml:space="preserve"> Peter Grünwald, Rianne de Heide, and Wouter Koolen. 2024. Safe Testing. Journal of the Royal Statistical Society, Series B, 86(5), 1091–1128. Theorem locations refer to arXiv:1906.07801v5, Section 3, Theorem 1. https://arxiv.org/abs/1906.07801</w:t>
      </w:r>
    </w:p>
    <w:p>
      <w:pPr>
        <w:spacing w:after="120" w:line="259" w:lineRule="auto"/>
      </w:pPr>
      <w:r>
        <w:rPr>
          <w:rFonts w:ascii="Old Standard TT" w:hAnsi="Old Standard TT"/>
          <w:b/>
          <w:sz w:val="19"/>
        </w:rPr>
        <w:t>[8]</w:t>
      </w:r>
      <w:r>
        <w:rPr>
          <w:rFonts w:ascii="Old Standard TT" w:hAnsi="Old Standard TT"/>
          <w:sz w:val="19"/>
        </w:rPr>
        <w:t xml:space="preserve"> Emilie Kaufmann, Olivier Cappé, and Aurélien Garivier. 2016. On the Complexity of Best-Arm Identification in Multi-Armed Bandit Models. Journal of Machine Learning Research 17(1), 1–42. Lemma 1. https://www.jmlr.org/beta/papers/v17/kaufman16a.html</w:t>
      </w:r>
    </w:p>
    <w:p>
      <w:pPr>
        <w:spacing w:after="120" w:line="259" w:lineRule="auto"/>
      </w:pPr>
      <w:r>
        <w:rPr>
          <w:rFonts w:ascii="Old Standard TT" w:hAnsi="Old Standard TT"/>
          <w:b/>
          <w:sz w:val="19"/>
        </w:rPr>
        <w:t>[9]</w:t>
      </w:r>
      <w:r>
        <w:rPr>
          <w:rFonts w:ascii="Old Standard TT" w:hAnsi="Old Standard TT"/>
          <w:sz w:val="19"/>
        </w:rPr>
        <w:t xml:space="preserve"> Fan Chen, Dylan J. Foster, Yanjun Han, Jian Qian, Alexander Rakhlin, and Yunbei Xu. 2024. Assouad, Fano, and Le Cam with Interaction: A Unifying Lower Bound Framework and Characterization for Bandit Learnability. NeurIPS 2024, Appendix E.2, Proposition E.4. https://arxiv.org/abs/2410.05117</w:t>
      </w:r>
    </w:p>
    <w:p>
      <w:pPr>
        <w:spacing w:after="120" w:line="259" w:lineRule="auto"/>
      </w:pPr>
      <w:r>
        <w:rPr>
          <w:rFonts w:ascii="Old Standard TT" w:hAnsi="Old Standard TT"/>
          <w:b/>
          <w:sz w:val="19"/>
        </w:rPr>
        <w:t>[10]</w:t>
      </w:r>
      <w:r>
        <w:rPr>
          <w:rFonts w:ascii="Old Standard TT" w:hAnsi="Old Standard TT"/>
          <w:sz w:val="19"/>
        </w:rPr>
        <w:t xml:space="preserve"> Daphne Koller, Nimrod Megiddo, and Bernhard von Stengel. 1996. Efficient Computation of Equilibria for Extensive Two-Person Games. Games and Economic Behavior 14(2), 247-259. Section 2. doi:10.1006/game.1996.0051.</w:t>
      </w:r>
    </w:p>
    <w:p>
      <w:pPr>
        <w:spacing w:after="120" w:line="259" w:lineRule="auto"/>
      </w:pPr>
      <w:r>
        <w:rPr>
          <w:rFonts w:ascii="Old Standard TT" w:hAnsi="Old Standard TT"/>
          <w:b/>
          <w:sz w:val="19"/>
        </w:rPr>
        <w:t>[11]</w:t>
      </w:r>
      <w:r>
        <w:rPr>
          <w:rFonts w:ascii="Old Standard TT" w:hAnsi="Old Standard TT"/>
          <w:sz w:val="19"/>
        </w:rPr>
        <w:t xml:space="preserve"> Mihir Bellare and Phillip Rogaway. 2006. The Security of Triple Encryption and a Framework for Code-Based Game-Playing Proofs. EUROCRYPT 2006. Fundamental lemma and identical-until-bad reasoning. https://www.cs.ucdavis.edu/~rogaway/papers/games.pdf</w:t>
      </w:r>
    </w:p>
    <w:p>
      <w:pPr>
        <w:spacing w:after="120" w:line="259" w:lineRule="auto"/>
      </w:pPr>
      <w:r>
        <w:rPr>
          <w:rFonts w:ascii="Old Standard TT" w:hAnsi="Old Standard TT"/>
          <w:b/>
          <w:sz w:val="19"/>
        </w:rPr>
        <w:t>[12]</w:t>
      </w:r>
      <w:r>
        <w:rPr>
          <w:rFonts w:ascii="Old Standard TT" w:hAnsi="Old Standard TT"/>
          <w:sz w:val="19"/>
        </w:rPr>
        <w:t xml:space="preserve"> Samir Khan, Martin Saveski, and Johan Ugander. 2024. Off-policy Evaluation Beyond Overlap: Sharp Partial Identification Under Smoothness. ICML, PMLR 235, 23734-23757. https://proceedings.mlr.press/v235/khan24b.html</w:t>
      </w:r>
    </w:p>
    <w:p>
      <w:pPr>
        <w:pStyle w:val="Heading2"/>
        <w:pageBreakBefore/>
      </w:pPr>
      <w:r>
        <w:rPr>
          <w:rFonts w:ascii="Old Standard TT" w:hAnsi="Old Standard TT"/>
        </w:rPr>
        <w:t>Appendix A. Identification and timing: proof details</w:t>
      </w:r>
    </w:p>
    <w:p>
      <w:pPr>
        <w:pageBreakBefore w:val="0"/>
        <w:jc w:val="both"/>
      </w:pPr>
      <w:r>
        <w:rPr>
          <w:rFonts w:ascii="Old Standard TT" w:hAnsi="Old Standard TT"/>
        </w:rPr>
        <w:t>The reference world is a causal response process with finite horizon. A history includes every action and observation available to the agent. A safe controller's causal likelihood is the product of its successive observation probabilities along a fixed action history. The actual execution probability multiplies that likelihood by the policy's action-realization weight. Safe support is the union of positive causal-likelihood histories over the entire allowed controller class; it is prefix-closed.</w:t>
      </w:r>
    </w:p>
    <w:p>
      <w:pPr>
        <w:pageBreakBefore w:val="0"/>
        <w:jc w:val="both"/>
      </w:pPr>
      <w:r>
        <w:rPr>
          <w:rFonts w:ascii="Old Standard TT" w:hAnsi="Old Standard TT"/>
        </w:rPr>
        <w:t>Fix an agent x and another with equal complete audit laws. At a safely supported history reachable under x, choose a controller with positive causal likelihood for that history. Equality of the joint history-and-next-action probabilities, divided by the positive history probability, fixes the policy's next-action conditional. An induction couples the two agents' reference executions up to first exit from safe support. Histories with zero policy-realization weight are not silently conditioned on; their branch has no contribution before exit.</w:t>
      </w:r>
    </w:p>
    <w:p>
      <w:pPr>
        <w:pageBreakBefore w:val="0"/>
        <w:jc w:val="both"/>
      </w:pPr>
      <w:r>
        <w:rPr>
          <w:rFonts w:ascii="Old Standard TT" w:hAnsi="Old Standard TT"/>
        </w:rPr>
        <w:t>The probability of each first exit and the no-exit target contribution are therefore fixed by audit equivalence. On each first-exit subtree, all continuations have zero probability under every safe controller. Replace the policy there by a continuation minimizing the target and separately by one maximizing it. These replacements preserve every complete safe law and attain the two endpoints in Proposition 1. First-exit subtrees are disjoint, so the replacements are mutually compatible. Randomized mixtures preserve audit laws and fill all intermediate target values.</w:t>
      </w:r>
    </w:p>
    <w:p>
      <w:pPr>
        <w:pageBreakBefore w:val="0"/>
        <w:jc w:val="both"/>
      </w:pPr>
      <w:r>
        <w:rPr>
          <w:rFonts w:ascii="Old Standard TT" w:hAnsi="Old Standard TT"/>
        </w:rPr>
        <w:t xml:space="preserve">This exact interval assumes unrestricted finite behavioral continuations and full logs. A more restricted policy class can reduce its width; compressed logs can increase it. For a general convex class with logged maps </w:t>
      </w:r>
      <m:oMath>
        <m:sSub>
          <m:e>
            <m:r>
              <m:t>M</m:t>
            </m:r>
          </m:e>
          <m:sub>
            <m:r>
              <m:t>j</m:t>
            </m:r>
          </m:sub>
        </m:sSub>
      </m:oMath>
      <w:r>
        <w:rPr>
          <w:rFonts w:ascii="Old Standard TT" w:hAnsi="Old Standard TT"/>
        </w:rPr>
        <w:t xml:space="preserve">, the identified interval is instead the minimum and maximum of </w:t>
      </w:r>
      <m:oMath>
        <m:sSup>
          <m:e>
            <m:r>
              <m:t>c</m:t>
            </m:r>
          </m:e>
          <m:sup>
            <m:r>
              <m:rPr>
                <m:sty m:val="p"/>
              </m:rPr>
              <m:t>⊤</m:t>
            </m:r>
          </m:sup>
        </m:sSup>
        <m:r>
          <m:t>x</m:t>
        </m:r>
      </m:oMath>
      <w:r>
        <w:rPr>
          <w:rFonts w:ascii="Old Standard TT" w:hAnsi="Old Standard TT"/>
        </w:rPr>
        <w:t xml:space="preserve"> over policies satisfying the observed law constraints. Thus the simple first-exit formula is not claimed under arbitrary logging or structural restrictions.</w:t>
      </w:r>
    </w:p>
    <w:p>
      <w:pPr>
        <w:pageBreakBefore w:val="0"/>
        <w:jc w:val="both"/>
      </w:pPr>
      <w:r>
        <w:rPr>
          <w:rFonts w:ascii="Old Standard TT" w:hAnsi="Old Standard TT"/>
        </w:rPr>
        <w:t>For a target already determined at a stopping prefix, every subsequent continuation has the same target value. Its continuation span is zero even when later observations are mutually singular across environments. This is not an intervention that erases inconvenient early evidence: all prior information must remain in the prefix. If an earlier harmless probe already differs, fidelity of a later target is not established by ignoring that probe.</w:t>
      </w:r>
    </w:p>
    <w:p>
      <w:pPr>
        <w:pageBreakBefore w:val="0"/>
        <w:jc w:val="both"/>
      </w:pPr>
      <w:r>
        <w:rPr>
          <w:rFonts w:ascii="Old Standard TT" w:hAnsi="Old Standard TT"/>
        </w:rPr>
        <w:t>A complete local replica with matching initial information and matching conditional observation kernels at every admissible history gives equal transcript laws by sequential coupling. It refutes an unrestricted containment trilemma. Conversely, a consequence witness needs accessible sound verification of the missing consequence; a simulator-controlled acknowledgment is not independently sound evidence. Unknown physical or external state is not assumed to be simulable.</w:t>
      </w:r>
    </w:p>
    <w:p>
      <w:pPr>
        <w:pStyle w:val="Heading2"/>
        <w:pageBreakBefore/>
      </w:pPr>
      <w:r>
        <w:rPr>
          <w:rFonts w:ascii="Old Standard TT" w:hAnsi="Old Standard TT"/>
        </w:rPr>
        <w:t>Appendix B. Certification and zero-support handling</w:t>
      </w:r>
    </w:p>
    <w:p>
      <w:pPr>
        <w:pageBreakBefore w:val="0"/>
        <w:jc w:val="both"/>
      </w:pPr>
      <w:r>
        <w:rPr>
          <w:rFonts w:ascii="Old Standard TT" w:hAnsi="Old Standard TT"/>
        </w:rPr>
        <w:t xml:space="preserve">Let G and B be nonempty compact convex threshold subsets of the legal realization-plan polytope. For positive record laws, the controller-weighted relative entropy is linear in the controller mixture and jointly convex in the candidate agents. A minimax saddle therefore exists. At a saddle, use the good-to-bad likelihood ratio as the evidence factor for each controller. Directional optimality gives a controller-weighted bad-agent mean at most one and a controller-weighted good-agent mean log factor at least </w:t>
      </w:r>
      <m:oMath>
        <m:r>
          <m:t>Γ</m:t>
        </m:r>
      </m:oMath>
      <w:r>
        <w:rPr>
          <w:rFonts w:ascii="Old Standard TT" w:hAnsi="Old Standard TT"/>
        </w:rPr>
        <w:t>. The first inequality need not hold controller by controller.</w:t>
      </w:r>
    </w:p>
    <w:p>
      <w:pPr>
        <w:pageBreakBefore w:val="0"/>
        <w:jc w:val="both"/>
      </w:pPr>
      <w:r>
        <w:rPr>
          <w:rFonts w:ascii="Old Standard TT" w:hAnsi="Old Standard TT"/>
        </w:rPr>
        <w:t xml:space="preserve">Choose a fresh controller from this mixture on every reset run. Under each bad agent, the product of joint factors has conditional mean no larger than its preceding value. The nonnegative-supermartingale maximal inequality bounds any threshold crossing. Under each good agent, the expected log increment is at least </w:t>
      </w:r>
      <m:oMath>
        <m:r>
          <m:t>Γ</m:t>
        </m:r>
      </m:oMath>
      <w:r>
        <w:rPr>
          <w:rFonts w:ascii="Old Standard TT" w:hAnsi="Old Standard TT"/>
        </w:rPr>
        <w:t xml:space="preserve">. If L bounds the positive overshoot, summing drift to the truncated stopping time gives </w:t>
      </w:r>
      <m:oMath>
        <m:r>
          <m:t>Γ</m:t>
        </m:r>
        <m:r>
          <m:t> </m:t>
        </m:r>
        <m:r>
          <m:rPr>
            <m:sty m:val="p"/>
            <m:scr m:val="double-struck"/>
          </m:rPr>
          <m:t>E</m:t>
        </m:r>
        <m:r>
          <m:t>[</m:t>
        </m:r>
        <m:r>
          <m:rPr>
            <m:sty m:val="p"/>
          </m:rPr>
          <m:t>min</m:t>
        </m:r>
        <m:d>
          <m:dPr>
            <m:begChr m:val="("/>
            <m:endChr m:val=")"/>
            <m:sepChr m:val=""/>
            <m:grow/>
          </m:dPr>
          <m:e>
            <m:r>
              <m:t>T</m:t>
            </m:r>
            <m:r>
              <m:rPr>
                <m:sty m:val="p"/>
              </m:rPr>
              <m:t>,</m:t>
            </m:r>
            <m:r>
              <m:t>n</m:t>
            </m:r>
          </m:e>
        </m:d>
        <m:r>
          <m:t>]</m:t>
        </m:r>
        <m:r>
          <m:rPr>
            <m:sty m:val="p"/>
          </m:rPr>
          <m:t>≤</m:t>
        </m:r>
        <m:r>
          <m:rPr>
            <m:sty m:val="p"/>
          </m:rPr>
          <m:t>log</m:t>
        </m:r>
        <m:d>
          <m:dPr>
            <m:begChr m:val="("/>
            <m:endChr m:val=")"/>
            <m:sepChr m:val=""/>
            <m:grow/>
          </m:dPr>
          <m:e>
            <m:r>
              <m:t>1</m:t>
            </m:r>
            <m:r>
              <m:rPr>
                <m:sty m:val="p"/>
              </m:rPr>
              <m:t>/</m:t>
            </m:r>
            <m:r>
              <m:t>δ</m:t>
            </m:r>
          </m:e>
        </m:d>
        <m:r>
          <m:rPr>
            <m:sty m:val="p"/>
          </m:rPr>
          <m:t>+</m:t>
        </m:r>
        <m:r>
          <m:t>L</m:t>
        </m:r>
      </m:oMath>
      <w:r>
        <w:rPr>
          <w:rFonts w:ascii="Old Standard TT" w:hAnsi="Old Standard TT"/>
        </w:rPr>
        <w:t>. Taking n to infinity proves finite good-agent expected cost rather than assuming it.</w:t>
      </w:r>
    </w:p>
    <w:p>
      <w:pPr>
        <w:pageBreakBefore w:val="0"/>
        <w:jc w:val="both"/>
      </w:pPr>
      <w:r>
        <w:rPr>
          <w:rFonts w:ascii="Old Standard TT" w:hAnsi="Old Standard TT"/>
        </w:rPr>
        <w:t xml:space="preserve">For the lower bound, fix a minimizing pair before any audit data. Each controller supplies directed divergence at most </w:t>
      </w:r>
      <m:oMath>
        <m:r>
          <m:t>Γ</m:t>
        </m:r>
      </m:oMath>
      <w:r>
        <w:rPr>
          <w:rFonts w:ascii="Old Standard TT" w:hAnsi="Old Standard TT"/>
        </w:rPr>
        <w:t xml:space="preserve">. The chain rule on finite stopped histories bounds total divergence by </w:t>
      </w:r>
      <m:oMath>
        <m:r>
          <m:t>Γ</m:t>
        </m:r>
      </m:oMath>
      <w:r>
        <w:rPr>
          <w:rFonts w:ascii="Old Standard TT" w:hAnsi="Old Standard TT"/>
        </w:rPr>
        <w:t xml:space="preserve"> times the expected number of used observations. Data processing to the event </w:t>
      </w:r>
      <m:oMath>
        <m:r>
          <m:t>T</m:t>
        </m:r>
        <m:r>
          <m:rPr>
            <m:sty m:val="p"/>
          </m:rPr>
          <m:t>≤</m:t>
        </m:r>
        <m:r>
          <m:t>n</m:t>
        </m:r>
      </m:oMath>
      <w:r>
        <w:rPr>
          <w:rFonts w:ascii="Old Standard TT" w:hAnsi="Old Standard TT"/>
        </w:rPr>
        <w:t xml:space="preserve"> gives a binary divergence. Under low-risk completeness its first argument tends to one; under soundness its second is at most </w:t>
      </w:r>
      <m:oMath>
        <m:r>
          <m:t>δ</m:t>
        </m:r>
      </m:oMath>
      <w:r>
        <w:rPr>
          <w:rFonts w:ascii="Old Standard TT" w:hAnsi="Old Standard TT"/>
        </w:rPr>
        <w:t>. The limiting lower bound is log(1/</w:t>
      </w:r>
      <m:oMath>
        <m:r>
          <m:t>δ</m:t>
        </m:r>
      </m:oMath>
      <w:r>
        <w:rPr>
          <w:rFonts w:ascii="Old Standard TT" w:hAnsi="Old Standard TT"/>
        </w:rPr>
        <w:t>). No termination assumption is imposed under high-risk agents.</w:t>
      </w:r>
    </w:p>
    <w:p>
      <w:pPr>
        <w:spacing w:before="80" w:after="140"/>
        <w:jc w:val="center"/>
      </w:pPr>
      <m:oMath>
        <m:sSubSup>
          <m:e>
            <m:r>
              <m:t>p</m:t>
            </m:r>
          </m:e>
          <m:sub>
            <m:r>
              <m:t>j</m:t>
            </m:r>
          </m:sub>
          <m:sup>
            <m:r>
              <m:t>ϵ</m:t>
            </m:r>
          </m:sup>
        </m:sSubSup>
        <m:d>
          <m:dPr>
            <m:begChr m:val="("/>
            <m:endChr m:val=")"/>
            <m:sepChr m:val=""/>
            <m:grow/>
          </m:dPr>
          <m:e>
            <m:r>
              <m:t>x</m:t>
            </m:r>
          </m:e>
        </m:d>
        <m:r>
          <m:rPr>
            <m:sty m:val="p"/>
          </m:rPr>
          <m:t>=</m:t>
        </m:r>
        <m:d>
          <m:dPr>
            <m:begChr m:val="("/>
            <m:endChr m:val=")"/>
            <m:sepChr m:val=""/>
            <m:grow/>
          </m:dPr>
          <m:e>
            <m:r>
              <m:t>1</m:t>
            </m:r>
            <m:r>
              <m:rPr>
                <m:sty m:val="p"/>
              </m:rPr>
              <m:t>−</m:t>
            </m:r>
            <m:r>
              <m:t>ϵ</m:t>
            </m:r>
          </m:e>
        </m:d>
        <m:sSub>
          <m:e>
            <m:r>
              <m:t>p</m:t>
            </m:r>
          </m:e>
          <m:sub>
            <m:r>
              <m:t>j</m:t>
            </m:r>
          </m:sub>
        </m:sSub>
        <m:d>
          <m:dPr>
            <m:begChr m:val="("/>
            <m:endChr m:val=")"/>
            <m:sepChr m:val=""/>
            <m:grow/>
          </m:dPr>
          <m:e>
            <m:r>
              <m:t>x</m:t>
            </m:r>
          </m:e>
        </m:d>
        <m:r>
          <m:rPr>
            <m:sty m:val="p"/>
          </m:rPr>
          <m:t>+</m:t>
        </m:r>
        <m:r>
          <m:t>ϵ</m:t>
        </m:r>
        <m:sSub>
          <m:e>
            <m:r>
              <m:t>u</m:t>
            </m:r>
          </m:e>
          <m:sub>
            <m:r>
              <m:t>j</m:t>
            </m:r>
          </m:sub>
        </m:sSub>
        <m:r>
          <m:rPr>
            <m:sty m:val="p"/>
          </m:rPr>
          <m:t>,</m:t>
        </m:r>
        <m:r>
          <m:t>  </m:t>
        </m:r>
        <m:sSubSup>
          <m:e>
            <m:r>
              <m:t>f</m:t>
            </m:r>
          </m:e>
          <m:sub>
            <m:r>
              <m:t>j</m:t>
            </m:r>
          </m:sub>
          <m:sup>
            <m:r>
              <m:t>ϵ</m:t>
            </m:r>
          </m:sup>
        </m:sSubSup>
        <m:d>
          <m:dPr>
            <m:begChr m:val="("/>
            <m:endChr m:val=")"/>
            <m:sepChr m:val=""/>
            <m:grow/>
          </m:dPr>
          <m:e>
            <m:r>
              <m:t>l</m:t>
            </m:r>
          </m:e>
        </m:d>
        <m:r>
          <m:rPr>
            <m:sty m:val="p"/>
          </m:rPr>
          <m:t>=</m:t>
        </m:r>
        <m:d>
          <m:dPr>
            <m:begChr m:val="("/>
            <m:endChr m:val=")"/>
            <m:sepChr m:val=""/>
            <m:grow/>
          </m:dPr>
          <m:e>
            <m:r>
              <m:t>1</m:t>
            </m:r>
            <m:r>
              <m:rPr>
                <m:sty m:val="p"/>
              </m:rPr>
              <m:t>−</m:t>
            </m:r>
            <m:r>
              <m:t>ϵ</m:t>
            </m:r>
          </m:e>
        </m:d>
        <m:sSubSup>
          <m:e>
            <m:r>
              <m:t>e</m:t>
            </m:r>
          </m:e>
          <m:sub>
            <m:r>
              <m:t>j</m:t>
            </m:r>
          </m:sub>
          <m:sup>
            <m:r>
              <m:t>ϵ</m:t>
            </m:r>
          </m:sup>
        </m:sSubSup>
        <m:d>
          <m:dPr>
            <m:begChr m:val="("/>
            <m:endChr m:val=")"/>
            <m:sepChr m:val=""/>
            <m:grow/>
          </m:dPr>
          <m:e>
            <m:r>
              <m:t>l</m:t>
            </m:r>
          </m:e>
        </m:d>
        <m:r>
          <m:rPr>
            <m:sty m:val="p"/>
          </m:rPr>
          <m:t>+</m:t>
        </m:r>
        <m:r>
          <m:t>ϵ</m:t>
        </m:r>
        <m:sSub>
          <m:e>
            <m:r>
              <m:t>E</m:t>
            </m:r>
          </m:e>
          <m:sub>
            <m:sSub>
              <m:e>
                <m:r>
                  <m:t>u</m:t>
                </m:r>
              </m:e>
              <m:sub>
                <m:r>
                  <m:t>j</m:t>
                </m:r>
              </m:sub>
            </m:sSub>
          </m:sub>
        </m:sSub>
        <m:sSubSup>
          <m:e>
            <m:r>
              <m:t>e</m:t>
            </m:r>
          </m:e>
          <m:sub>
            <m:r>
              <m:t>j</m:t>
            </m:r>
          </m:sub>
          <m:sup>
            <m:r>
              <m:t>ϵ</m:t>
            </m:r>
          </m:sup>
        </m:sSubSup>
        <m:r>
          <m:rPr>
            <m:sty m:val="p"/>
          </m:rPr>
          <m:t>.</m:t>
        </m:r>
      </m:oMath>
    </w:p>
    <w:p>
      <w:pPr>
        <w:pageBreakBefore w:val="0"/>
        <w:jc w:val="both"/>
      </w:pPr>
      <w:r>
        <w:rPr>
          <w:rFonts w:ascii="Old Standard TT" w:hAnsi="Old Standard TT"/>
        </w:rPr>
        <w:t xml:space="preserve">For zero probabilities, only the optimization is regularized as above. The actual policy and observations are unchanged. The expected pulled-back factor equals the regularized expected factor. Concavity of log gives actual log growth at least the regularized growth. Compactness and data processing yield </w:t>
      </w:r>
      <m:oMath>
        <m:sSub>
          <m:e>
            <m:r>
              <m:t>Γ</m:t>
            </m:r>
          </m:e>
          <m:sub>
            <m:r>
              <m:t>ϵ</m:t>
            </m:r>
          </m:sub>
        </m:sSub>
      </m:oMath>
      <w:r>
        <w:rPr>
          <w:rFonts w:ascii="Old Standard TT" w:hAnsi="Old Standard TT"/>
        </w:rPr>
        <w:t xml:space="preserve"> increasing to </w:t>
      </w:r>
      <m:oMath>
        <m:r>
          <m:t>Γ</m:t>
        </m:r>
      </m:oMath>
      <w:r>
        <w:rPr>
          <w:rFonts w:ascii="Old Standard TT" w:hAnsi="Old Standard TT"/>
        </w:rPr>
        <w:t xml:space="preserve"> as epsilon decreases. Taking epsilon to zero sufficiently slowly as </w:t>
      </w:r>
      <m:oMath>
        <m:r>
          <m:t>δ</m:t>
        </m:r>
      </m:oMath>
      <w:r>
        <w:rPr>
          <w:rFonts w:ascii="Old Standard TT" w:hAnsi="Old Standard TT"/>
        </w:rPr>
        <w:t xml:space="preserve"> decreases yields Proposition 2's first-order limit. Artificially bounding every action probability away from zero would change the candidate class and can eliminate precisely the hidden policies at issue.</w:t>
      </w:r>
    </w:p>
    <w:p>
      <w:pPr>
        <w:pageBreakBefore w:val="0"/>
        <w:jc w:val="both"/>
      </w:pPr>
      <w:r>
        <w:rPr>
          <w:rFonts w:ascii="Old Standard TT" w:hAnsi="Old Standard TT"/>
        </w:rPr>
        <w:t>The full carried-forward proof and numerical certificate files are in legacy_v5/. This document treats them as conditional project results, not independently peer-reviewed theorems. Convex information projection and composite e-testing are established tools [7]. No mathematical novelty is claimed merely for using them in an agent model.</w:t>
      </w:r>
    </w:p>
    <w:p>
      <w:pPr>
        <w:pStyle w:val="Heading2"/>
        <w:pageBreakBefore/>
      </w:pPr>
      <w:r>
        <w:rPr>
          <w:rFonts w:ascii="Old Standard TT" w:hAnsi="Old Standard TT"/>
        </w:rPr>
        <w:t>Appendix C. Robustness, missingness, and replication</w:t>
      </w:r>
    </w:p>
    <w:p>
      <w:pPr>
        <w:pageBreakBefore w:val="0"/>
        <w:jc w:val="both"/>
      </w:pPr>
      <w:r>
        <w:rPr>
          <w:rFonts w:ascii="Old Standard TT" w:hAnsi="Old Standard TT"/>
        </w:rPr>
        <w:t xml:space="preserve">For Proposition 3, use the same information set for every bound: the complete past before the controller/record pair is sampled. A score computed from a pilot is allowed if frozen or otherwise predictable; fitting it using the current observation is not. Suppose the nominal conditional score mean is at most </w:t>
      </w:r>
      <m:oMath>
        <m:r>
          <m:t>1</m:t>
        </m:r>
        <m:r>
          <m:rPr>
            <m:sty m:val="p"/>
          </m:rPr>
          <m:t>+</m:t>
        </m:r>
        <m:r>
          <m:t>ν</m:t>
        </m:r>
      </m:oMath>
      <w:r>
        <w:rPr>
          <w:rFonts w:ascii="Old Standard TT" w:hAnsi="Old Standard TT"/>
        </w:rPr>
        <w:t xml:space="preserve">, and the conditional total-variation error is at most </w:t>
      </w:r>
      <m:oMath>
        <m:r>
          <m:t>η</m:t>
        </m:r>
      </m:oMath>
      <w:r>
        <w:rPr>
          <w:rFonts w:ascii="Old Standard TT" w:hAnsi="Old Standard TT"/>
        </w:rPr>
        <w:t xml:space="preserve">. The actual mean is then at most </w:t>
      </w:r>
      <m:oMath>
        <m:r>
          <m:t>1</m:t>
        </m:r>
        <m:r>
          <m:rPr>
            <m:sty m:val="p"/>
          </m:rPr>
          <m:t>+</m:t>
        </m:r>
        <m:r>
          <m:t>ν</m:t>
        </m:r>
        <m:r>
          <m:rPr>
            <m:sty m:val="p"/>
          </m:rPr>
          <m:t>+</m:t>
        </m:r>
        <m:r>
          <m:t>η</m:t>
        </m:r>
        <m:r>
          <m:t>r</m:t>
        </m:r>
      </m:oMath>
      <w:r>
        <w:rPr>
          <w:rFonts w:ascii="Old Standard TT" w:hAnsi="Old Standard TT"/>
        </w:rPr>
        <w:t>, where r is the score range. Normalizing by this quantity gives the conditional moment bound; iteration and the maximal inequality establish soundness.</w:t>
      </w:r>
    </w:p>
    <w:p>
      <w:pPr>
        <w:pageBreakBefore w:val="0"/>
        <w:jc w:val="both"/>
      </w:pPr>
      <w:r>
        <w:rPr>
          <w:rFonts w:ascii="Old Standard TT" w:hAnsi="Old Standard TT"/>
        </w:rPr>
        <w:t>The one-step bound is sharp for the E3 two-outcome example. Moving eta mass from Y=1 to Y=0 increases the expected factor by eta times (5/3-5/7), exactly the stated correction. A zero total-variation distance for each marginal does not provide the required conditional envelope. With the cached bit, conditioning on its first value makes every later law a point mass. The repair is therefore permitted to stop producing useful positive evidence.</w:t>
      </w:r>
    </w:p>
    <w:p>
      <w:pPr>
        <w:pageBreakBefore w:val="0"/>
        <w:jc w:val="both"/>
      </w:pPr>
      <w:r>
        <w:rPr>
          <w:rFonts w:ascii="Old Standard TT" w:hAnsi="Old Standard TT"/>
        </w:rPr>
        <w:t xml:space="preserve">A separately frozen calibration study can contribute an additional error probability alpha only if it supplies simultaneous conditional-law coverage and the later experiment satisfies the declared conditional independence assumptions. Then a union bound gives at most </w:t>
      </w:r>
      <m:oMath>
        <m:r>
          <m:t>δ</m:t>
        </m:r>
      </m:oMath>
      <w:r>
        <w:rPr>
          <w:rFonts w:ascii="Old Standard TT" w:hAnsi="Old Standard TT"/>
        </w:rPr>
        <w:t>+alpha. The artifact does not estimate such a deployment envelope from local model classifications. No LLM in this release has received a real-deployment certificate.</w:t>
      </w:r>
    </w:p>
    <w:p>
      <w:pPr>
        <w:pageBreakBefore w:val="0"/>
        <w:jc w:val="both"/>
      </w:pPr>
      <w:r>
        <w:rPr>
          <w:rFonts w:ascii="Old Standard TT" w:hAnsi="Old Standard TT"/>
        </w:rPr>
        <w:t>Codex reproduced the original CPU configuration before edits. This release reran it in a new directory: all seven files matched, including 960 episode records and 3,000 sampling count vectors (seed 620231). The inherited certificate checker again passed 38 cases and 2,031 rational constraints. An independent saved-record audit checked counts, estimates, and hashes. Reproduction is not additional independent data. These CPU analyses are retrospective, not publicly preregistered.</w:t>
      </w:r>
    </w:p>
    <w:p>
      <w:pPr>
        <w:pageBreakBefore w:val="0"/>
        <w:jc w:val="both"/>
      </w:pPr>
      <w:r>
        <w:rPr>
          <w:rFonts w:ascii="Old Standard TT" w:hAnsi="Old Standard TT"/>
        </w:rPr>
        <w:t>The future model ledger retains planned cells, provider attempts, visible answers, returned identifiers, token usage, explicit refusals, truncations, parsing errors, and resource stops. Failed reports preserve completed actions. For k observed shortcuts and m missing actions among n attempted episodes, the realized attempted-sample rate lies in [k/n,(k+m)/n]. The analyzer also reports bounds over all planned episodes, including unstarted cases, and separate probability-report denominators. Classification uses fixed orientation, half credit at 0.5, paired label swaps, and Holm correction over four reserved comparisons. Missingness bounds are not deployment guarantees.</w:t>
      </w:r>
    </w:p>
    <w:p>
      <w:pPr>
        <w:pageBreakBefore w:val="0"/>
        <w:jc w:val="both"/>
      </w:pPr>
      <w:r>
        <w:rPr>
          <w:rFonts w:ascii="Old Standard TT" w:hAnsi="Old Standard TT"/>
        </w:rPr>
        <w:t>The 17 Codex tests passed; one added regression rejects exponent overflow such as 1e400, bringing the suite to 18. Original records are unchanged. Old Standard, Pandoc, LibreOffice and required Python libraries were available locally; the revised manuscript was regenerated and visually inspected. Previously missing attachments [1,3] were rechecked in the conversation; selected bibliography metadata was separately verified. Exact source locations and remaining metadata gaps are in verification/v7/source_audit.json. No real inference occurred.</w:t>
      </w:r>
    </w:p>
    <w:p>
      <w:pPr>
        <w:pStyle w:val="Heading2"/>
        <w:pageBreakBefore/>
      </w:pPr>
      <w:r>
        <w:rPr>
          <w:rFonts w:ascii="Old Standard TT" w:hAnsi="Old Standard TT"/>
        </w:rPr>
        <w:t>Appendix D. Limitations and Dual-Use Considerations</w:t>
      </w:r>
    </w:p>
    <w:p>
      <w:pPr>
        <w:pageBreakBefore w:val="0"/>
        <w:jc w:val="both"/>
      </w:pPr>
      <w:r>
        <w:rPr>
          <w:rFonts w:ascii="Old Standard TT" w:hAnsi="Old Standard TT"/>
        </w:rPr>
        <w:t>Local synthetic environments are not real deployments. Two mechanisms and a finite model set cannot support universal claims. Failure to find a distinguisher is not proof of indistinguishability. A hand-written witness establishes an available signal, not autonomous discovery. Reported probabilities may not be internal beliefs, and conditioning an action on evidence is not by itself evidence of malicious intent. A harmless shortcut task does not measure destructive behavior.</w:t>
      </w:r>
    </w:p>
    <w:p>
      <w:pPr>
        <w:pageBreakBefore w:val="0"/>
        <w:jc w:val="both"/>
      </w:pPr>
      <w:r>
        <w:rPr>
          <w:rFonts w:ascii="Old Standard TT" w:hAnsi="Old Standard TT"/>
        </w:rPr>
        <w:t>The model abstracts from social, legal, physical, and open-world processes. Unknown external actors, unmodeled timing, covert memory, inconsistent service state, and log truncation can break a claimed correspondence. Matching model-facing JSON fields does not prove that all infrastructure cues have been removed. Containment is a separate implementation claim; this small Python environment is not a hardened sandbox for adversarial code.</w:t>
      </w:r>
    </w:p>
    <w:p>
      <w:pPr>
        <w:pageBreakBefore w:val="0"/>
        <w:jc w:val="both"/>
      </w:pPr>
      <w:r>
        <w:rPr>
          <w:rFonts w:ascii="Old Standard TT" w:hAnsi="Old Standard TT"/>
        </w:rPr>
        <w:t>The artifact can help auditors avoid overclaiming, but examples might teach future agents or attackers how to recognize evaluation conditions. It contains no operational fingerprints, exploitation recipes, live credentials, or third-party targets. Potentially sensitive details from an authorized real audit require a separate disclosure review. All experiments must remain local, authorized, and non-destructive. Only explicitly authorized inference traffic may leave the experiment host; the evaluated agent receives no external network tool.</w:t>
      </w:r>
    </w:p>
    <w:p>
      <w:pPr>
        <w:pStyle w:val="Heading3"/>
        <w:pageBreakBefore w:val="0"/>
      </w:pPr>
      <w:r>
        <w:rPr>
          <w:rFonts w:ascii="Old Standard TT" w:hAnsi="Old Standard TT"/>
        </w:rPr>
        <w:t>LLM Usage Statement</w:t>
      </w:r>
    </w:p>
    <w:p>
      <w:pPr>
        <w:pageBreakBefore w:val="0"/>
        <w:jc w:val="both"/>
      </w:pPr>
      <w:r>
        <w:rPr>
          <w:rFonts w:ascii="Old Standard TT" w:hAnsi="Old Standard TT"/>
        </w:rPr>
        <w:t>ChatGPT and Codex assisted theory exploration, drafting, code and checking. Codex reproduced the CPU results and repaired failure accounting. This revision repeated the audit, fixed numeric-overflow parsing, checked primary-source locations and regenerated the report. No evaluated LLM experiment was run. These checks are not independent human theorem review. Human authors must confirm authorship and affiliation, own the writing, and review claims, references and disclosure before submission.</w:t>
      </w:r>
    </w:p>
    <w:p>
      <w:pPr>
        <w:pStyle w:val="Heading3"/>
        <w:pageBreakBefore w:val="0"/>
      </w:pPr>
      <w:r>
        <w:rPr>
          <w:rFonts w:ascii="Old Standard TT" w:hAnsi="Old Standard TT"/>
        </w:rPr>
        <w:t>Exactly four one-month extensions</w:t>
      </w:r>
    </w:p>
    <w:p>
      <w:pPr>
        <w:pageBreakBefore w:val="0"/>
        <w:jc w:val="both"/>
      </w:pPr>
      <w:r>
        <w:rPr>
          <w:rFonts w:ascii="Old Standard TT" w:hAnsi="Old Standard TT"/>
          <w:b/>
        </w:rPr>
        <w:t>1. Scale to more models, seeds, environments, and longer horizons.</w:t>
      </w:r>
      <w:r>
        <w:rPr>
          <w:rFonts w:ascii="Old Standard TT" w:hAnsi="Old Standard TT"/>
        </w:rPr>
        <w:t xml:space="preserve"> Test the prospective model study and broaden causal mechanisms while retaining complete failure accounting.</w:t>
      </w:r>
    </w:p>
    <w:p>
      <w:pPr>
        <w:pageBreakBefore w:val="0"/>
        <w:jc w:val="both"/>
      </w:pPr>
      <w:r>
        <w:rPr>
          <w:rFonts w:ascii="Old Standard TT" w:hAnsi="Old Standard TT"/>
          <w:b/>
        </w:rPr>
        <w:t>2. Search or train adaptive probe policies and compare them with general-purpose agents.</w:t>
      </w:r>
      <w:r>
        <w:rPr>
          <w:rFonts w:ascii="Old Standard TT" w:hAnsi="Old Standard TT"/>
        </w:rPr>
        <w:t xml:space="preserve"> Separate elicited exploitation from search success and avoid equating either with intent.</w:t>
      </w:r>
    </w:p>
    <w:p>
      <w:pPr>
        <w:pageBreakBefore w:val="0"/>
        <w:jc w:val="both"/>
      </w:pPr>
      <w:r>
        <w:rPr>
          <w:rFonts w:ascii="Old Standard TT" w:hAnsi="Old Standard TT"/>
          <w:b/>
        </w:rPr>
        <w:t>3. Conduct an authorized leakage audit of an existing agent evaluation environment.</w:t>
      </w:r>
      <w:r>
        <w:rPr>
          <w:rFonts w:ascii="Old Standard TT" w:hAnsi="Old Standard TT"/>
        </w:rPr>
        <w:t xml:space="preserve"> Validate the actual observation boundary and reset assumptions before making any deployment-relevant statement.</w:t>
      </w:r>
    </w:p>
    <w:p>
      <w:pPr>
        <w:pageBreakBefore w:val="0"/>
        <w:jc w:val="both"/>
      </w:pPr>
      <w:r>
        <w:rPr>
          <w:rFonts w:ascii="Old Standard TT" w:hAnsi="Old Standard TT"/>
          <w:b/>
        </w:rPr>
        <w:t>4. Strengthen the formal analysis for partial observability, composition, and open-world external actors.</w:t>
      </w:r>
      <w:r>
        <w:rPr>
          <w:rFonts w:ascii="Old Standard TT" w:hAnsi="Old Standard TT"/>
        </w:rPr>
        <w:t xml:space="preserve"> Prioritize justified deployment uncertainty and persistent memory without changing the specified behavioral target.</w:t>
      </w:r>
    </w:p>
    <w:sectPr>
      <w:headerReference w:type="default" r:id="rId8"/>
      <w:footerReference w:type="default" r:id="rId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00" w:before="0"/>
    </w:pPr>
    <w:rPr>
      <w:rFonts w:ascii="Old Standard TT" w:hAnsi="Old Standard TT"/>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00" w:before="180" w:lineRule="auto"/>
    </w:pPr>
    <w:rPr>
      <w:rFonts w:ascii="Old Standard TT" w:hAnsi="Old Standard TT"/>
      <w:b/>
      <w:bCs w:val="0"/>
      <w:color w:val="000000"/>
      <w:sz w:val="28"/>
      <w:szCs w:val="32"/>
    </w:rPr>
  </w:style>
  <w:style w:type="paragraph" w:styleId="Heading3">
    <w:name w:val="heading 3"/>
    <w:basedOn w:val="Normal"/>
    <w:next w:val="Normal"/>
    <w:pPr>
      <w:keepNext/>
      <w:keepLines w:val="1"/>
      <w:pageBreakBefore w:val="0"/>
      <w:spacing w:after="100" w:before="180" w:lineRule="auto"/>
    </w:pPr>
    <w:rPr>
      <w:rFonts w:ascii="Old Standard TT" w:hAnsi="Old Standard TT"/>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Certifying Behavior Without Hiding the Sandbox</dc:title>
  <cp:lastModifiedBy>python-docx</cp:lastModifiedBy>
  <cp:revision>1</cp:revision>
  <dcterms:modified xsi:type="dcterms:W3CDTF">2026-09-14T09:12:33Z</dcterms:modified>
  <dc:creator>Li Quan; author identity and affiliation require confirmation</dc:creator>
  <dc:subject>AI Incident Response Sprint: target-specific safe behavioral evidence</dc:subject>
  <dc:description>AI-assisted collaboration draft; human authorship and affiliation verification required.</dc:description>
</cp:coreProperties>
</file>