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20" w:lineRule="exact" w:before="0" w:after="120"/>
        <w:jc w:val="center"/>
      </w:pPr>
      <w:r>
        <w:rPr>
          <w:rFonts w:ascii="宋体" w:hAnsi="宋体" w:eastAsia="宋体"/>
          <w:b/>
          <w:sz w:val="40"/>
        </w:rPr>
        <w:t>××县2026年上半年优化营商环境工作总结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一、总体概述</w:t>
      </w:r>
      <w:r>
        <w:rPr>
          <w:rFonts w:ascii="仿宋" w:hAnsi="仿宋" w:eastAsia="仿宋"/>
          <w:b w:val="0"/>
          <w:sz w:val="32"/>
        </w:rPr>
        <w:t>2026年以来，全县以“高效办成一件事”为牵引，纵深推进营商环境优化提升“一号改革工程”，聚焦企业全生命周期堵点，一体推进政务服务提能、信用修复便企、涉企检查规范。上半年，全县营商环境综合评价位居全市【待补：第x位】，经营主体满意度较年初提升【待补：xx个百分点】，新设经营主体【待补：xx】户、同比增长【待补：xx%】，为完成全年目标打下了坚实基础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二、主要做法与成效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（一）聚焦高频场景抓集成，“高效办成一件事”提质增效。</w:t>
      </w:r>
      <w:r>
        <w:rPr>
          <w:rFonts w:ascii="仿宋" w:hAnsi="仿宋" w:eastAsia="仿宋"/>
          <w:b w:val="0"/>
          <w:sz w:val="32"/>
        </w:rPr>
        <w:t>围绕企业开办、经营主体准营、不动产登记等【待补：xx】个高频场景，迭代推出“一件事”集成套餐【待补：xx】项，平均办理时限压缩至【待补：xx】个工作日、同比减少【待补：xx%】；企业开办“一日办结”覆盖率达【待补：xx%】，全程网办率提升至【待补：xx%】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（二）完善“两书同达”机制，信用修复助企卸包袱。</w:t>
      </w:r>
      <w:r>
        <w:rPr>
          <w:rFonts w:ascii="仿宋" w:hAnsi="仿宋" w:eastAsia="仿宋"/>
          <w:b w:val="0"/>
          <w:sz w:val="32"/>
        </w:rPr>
        <w:t>行政处罚决定书与信用修复告知书同步送达，上半年办理经营主体信用修复【待补：xx】户、同比增长【待补：xx%】，平均办结时限由【待补：xx】个工作日压缩至【待补：xx】个工作日；创新“信用修复+惠企政策”联办，助力【待补：xx】家企业及时恢复正常经营资格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（三）深化“综合查一次”，涉企检查规范减负。</w:t>
      </w:r>
      <w:r>
        <w:rPr>
          <w:rFonts w:ascii="仿宋" w:hAnsi="仿宋" w:eastAsia="仿宋"/>
          <w:b w:val="0"/>
          <w:sz w:val="32"/>
        </w:rPr>
        <w:t>整合市场监管、应急、生态环境等领域检查事项，推行“综合查一次”，上半年涉企检查频次归并压减【待补：xx%】，扫码入企备案率达【待补：xx%】，切实减少对企业正常经营的打扰。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（四）强化政银企对接与要素保障。</w:t>
      </w:r>
      <w:r>
        <w:rPr>
          <w:rFonts w:ascii="仿宋" w:hAnsi="仿宋" w:eastAsia="仿宋"/>
          <w:b w:val="0"/>
          <w:sz w:val="32"/>
        </w:rPr>
        <w:t>组织政银企对接活动【待补：xx】场，新增普惠小微贷款【待补：xx】亿元；落实减税降费及退税缓费【待补：xx】亿元，惠及经营主体【待补：xx】家。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三、存在问题</w:t>
      </w:r>
      <w:r>
        <w:rPr>
          <w:rFonts w:ascii="仿宋" w:hAnsi="仿宋" w:eastAsia="仿宋"/>
          <w:b w:val="0"/>
          <w:sz w:val="32"/>
        </w:rPr>
        <w:t>对照上级要求和企业期盼，工作中还存在一些差距：一是“高效办成一件事”集成度不够深，部门间数据壁垒尚未完全打通，如【待补：某具体事项】，企业仍需分别向【待补：x】个部门重复提交近乎相同的证明材料，“数据多跑路、企业少跑腿”未真正落地；二是基层执法人员对“免罚轻罚清单”掌握不精准，个别领域仍存在多头重复检查；三是惠企政策“最后一公里”兑现效率不高，政策知晓率有待提升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四、下一步工作打算</w:t>
      </w:r>
      <w:r>
        <w:rPr>
          <w:rFonts w:ascii="仿宋" w:hAnsi="仿宋" w:eastAsia="仿宋"/>
          <w:b w:val="0"/>
          <w:sz w:val="32"/>
        </w:rPr>
        <w:t>一是加快数据共享，将【待补：具体事项】纳入下一批“一件事”改革清单，年底前企业申报材料再精简【待补：xx%】；二是修订完善“免罚轻罚清单”，加强基层执法人员培训，扩大“综合查一次”覆盖面，下半年涉企检查频次再压减【待补：xx%】；三是搭建惠企政策“免申即享”平台，推动政策精准直达、快速兑现。</w:t>
      </w:r>
    </w:p>
    <w:p>
      <w:pPr>
        <w:spacing w:line="580" w:lineRule="exact" w:before="0" w:after="0"/>
        <w:jc w:val="right"/>
      </w:pPr>
      <w:r>
        <w:rPr>
          <w:rFonts w:ascii="仿宋" w:hAnsi="仿宋" w:eastAsia="仿宋"/>
          <w:b w:val="0"/>
          <w:sz w:val="32"/>
        </w:rPr>
        <w:t xml:space="preserve">××县发展和改革局　　　</w:t>
      </w:r>
    </w:p>
    <w:p>
      <w:pPr>
        <w:spacing w:line="580" w:lineRule="exact" w:before="0" w:after="0"/>
        <w:jc w:val="right"/>
      </w:pPr>
      <w:r>
        <w:rPr>
          <w:rFonts w:ascii="仿宋" w:hAnsi="仿宋" w:eastAsia="仿宋"/>
          <w:b w:val="0"/>
          <w:sz w:val="32"/>
        </w:rPr>
        <w:t xml:space="preserve">2026年7月×日　　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