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720" w:lineRule="exact" w:before="0" w:after="120"/>
        <w:jc w:val="center"/>
      </w:pPr>
      <w:r>
        <w:rPr>
          <w:rFonts w:ascii="宋体" w:hAnsi="宋体" w:eastAsia="宋体"/>
          <w:b/>
          <w:sz w:val="40"/>
        </w:rPr>
        <w:t>××县2026年大规模设备更新和消费品以旧换新（“两新”）提质增效实施方案</w:t>
      </w:r>
    </w:p>
    <w:p>
      <w:pPr>
        <w:spacing w:line="580" w:lineRule="exact" w:before="0" w:after="0"/>
        <w:ind w:firstLine="640"/>
        <w:jc w:val="left"/>
      </w:pPr>
      <w:r>
        <w:rPr>
          <w:rFonts w:ascii="黑体" w:hAnsi="黑体" w:eastAsia="黑体"/>
          <w:b w:val="0"/>
          <w:sz w:val="32"/>
        </w:rPr>
        <w:t>一、指导思想</w:t>
      </w:r>
      <w:r>
        <w:rPr>
          <w:rFonts w:ascii="仿宋" w:hAnsi="仿宋" w:eastAsia="仿宋"/>
          <w:b w:val="0"/>
          <w:sz w:val="32"/>
        </w:rPr>
        <w:t>深入贯彻党中央、国务院关于扩大内需的决策部署，依据国家发展改革委、财政部《关于2026年实施大规模设备更新和消费品以旧换新政策的通知》（发改环资〔2025〕1745号）和省、市实施方案，坚持提质增效导向，集中资源提升重点消费品“得补率”，推动设备更新和消费品以旧换新扩面提标，更好发挥“两新”政策扩内需、稳增长、促转型、惠民生作用。</w:t>
      </w:r>
    </w:p>
    <w:p>
      <w:pPr>
        <w:spacing w:line="580" w:lineRule="exact" w:before="0" w:after="0"/>
        <w:ind w:firstLine="640"/>
        <w:jc w:val="left"/>
      </w:pPr>
      <w:r>
        <w:rPr>
          <w:rFonts w:ascii="黑体" w:hAnsi="黑体" w:eastAsia="黑体"/>
          <w:b w:val="0"/>
          <w:sz w:val="32"/>
        </w:rPr>
        <w:t>二、工作目标</w:t>
      </w:r>
      <w:r>
        <w:rPr>
          <w:rFonts w:ascii="仿宋" w:hAnsi="仿宋" w:eastAsia="仿宋"/>
          <w:b w:val="0"/>
          <w:sz w:val="32"/>
        </w:rPr>
        <w:t>到2026年底，全县家电以旧换新补贴发放【待补：xx】万元、带动销售【待补：xx】亿元；汽车报废更新和置换更新办理【待补：xx】辆；数码和智能产品购新补贴惠及【待补：xx】人次；规上工业企业设备更新投资增长【待补：xx%】，重点领域设备更新覆盖率达【待补：xx%】。</w:t>
      </w:r>
    </w:p>
    <w:p>
      <w:pPr>
        <w:spacing w:line="580" w:lineRule="exact" w:before="0" w:after="0"/>
        <w:ind w:firstLine="640"/>
        <w:jc w:val="left"/>
      </w:pPr>
      <w:r>
        <w:rPr>
          <w:rFonts w:ascii="黑体" w:hAnsi="黑体" w:eastAsia="黑体"/>
          <w:b w:val="0"/>
          <w:sz w:val="32"/>
        </w:rPr>
        <w:t>三、主要任务与分工</w:t>
      </w:r>
    </w:p>
    <w:p>
      <w:pPr>
        <w:spacing w:line="580" w:lineRule="exact" w:before="0" w:after="0"/>
        <w:ind w:firstLine="640"/>
        <w:jc w:val="left"/>
      </w:pPr>
      <w:r>
        <w:rPr>
          <w:rFonts w:ascii="黑体" w:hAnsi="黑体" w:eastAsia="黑体"/>
          <w:b w:val="0"/>
          <w:sz w:val="32"/>
        </w:rPr>
        <w:t>（一）深入推进家电以旧换新。</w:t>
      </w:r>
      <w:r>
        <w:rPr>
          <w:rFonts w:ascii="仿宋" w:hAnsi="仿宋" w:eastAsia="仿宋"/>
          <w:b w:val="0"/>
          <w:sz w:val="32"/>
        </w:rPr>
        <w:t>聚焦冰箱、洗衣机、电视、空调、电脑、热水器等6类1级能效（水效）产品，按销售价格的15%给予补贴，单件补贴最高不超过1500元。规范参与企业资质审核，严防“先涨价后补贴”、骗补套补行为。【牵头单位：县商务局；责任单位：县财政局、县市场监管局、各乡镇（街道）；完成时限：2026年3月底前发布实施细则，全年动态实施】</w:t>
      </w:r>
    </w:p>
    <w:p>
      <w:pPr>
        <w:spacing w:line="580" w:lineRule="exact" w:before="0" w:after="0"/>
        <w:ind w:firstLine="640"/>
        <w:jc w:val="left"/>
      </w:pPr>
      <w:r>
        <w:rPr>
          <w:rFonts w:ascii="黑体" w:hAnsi="黑体" w:eastAsia="黑体"/>
          <w:b w:val="0"/>
          <w:sz w:val="32"/>
        </w:rPr>
        <w:t>（二）扎实推进汽车报废更新和置换更新。</w:t>
      </w:r>
      <w:r>
        <w:rPr>
          <w:rFonts w:ascii="仿宋" w:hAnsi="仿宋" w:eastAsia="仿宋"/>
          <w:b w:val="0"/>
          <w:sz w:val="32"/>
        </w:rPr>
        <w:t>对报废国三及以下排放标准汽车并购买新能源汽车或节能型汽车、办理乘用车置换更新的消费者，按车辆价格比例给予补贴，简化申领流程，推行“一站式”办理。【牵头单位：县商务局；责任单位：县公安局交警大队、县生态环境分局、县税务局；完成时限：全年常态实施，每季度调度通报一次】</w:t>
      </w:r>
    </w:p>
    <w:p>
      <w:pPr>
        <w:spacing w:line="580" w:lineRule="exact" w:before="0" w:after="0"/>
        <w:ind w:firstLine="640"/>
        <w:jc w:val="left"/>
      </w:pPr>
      <w:r>
        <w:rPr>
          <w:rFonts w:ascii="黑体" w:hAnsi="黑体" w:eastAsia="黑体"/>
          <w:b w:val="0"/>
          <w:sz w:val="32"/>
        </w:rPr>
        <w:t>（三）拓展数码和智能产品购新补贴。</w:t>
      </w:r>
      <w:r>
        <w:rPr>
          <w:rFonts w:ascii="仿宋" w:hAnsi="仿宋" w:eastAsia="仿宋"/>
          <w:b w:val="0"/>
          <w:sz w:val="32"/>
        </w:rPr>
        <w:t>补贴品类由手机、平板、智能手表（手环）拓展为数码和智能产品，涵盖智能眼镜和智能家居产品（含适老化家居产品），按规定比例给予补贴，同步做好防范“黄牛”倒卖等风险管控。【牵头单位：县商务局；责任单位：县民政局、县市场监管局；完成时限：2026年4月底前完成政策落地，全年受理】</w:t>
      </w:r>
    </w:p>
    <w:p>
      <w:pPr>
        <w:spacing w:line="580" w:lineRule="exact" w:before="0" w:after="0"/>
        <w:ind w:firstLine="640"/>
        <w:jc w:val="left"/>
      </w:pPr>
      <w:r>
        <w:rPr>
          <w:rFonts w:ascii="黑体" w:hAnsi="黑体" w:eastAsia="黑体"/>
          <w:b w:val="0"/>
          <w:sz w:val="32"/>
        </w:rPr>
        <w:t>（四）有序推进重点领域设备更新。</w:t>
      </w:r>
      <w:r>
        <w:rPr>
          <w:rFonts w:ascii="仿宋" w:hAnsi="仿宋" w:eastAsia="仿宋"/>
          <w:b w:val="0"/>
          <w:sz w:val="32"/>
        </w:rPr>
        <w:t>围绕工业技改、老旧住宅电梯、供水供气管网、养老机构设备等重点领域，建立设备更新项目库，实行清单化管理、滚动式推进，积极争取超长期特别国债和省级资金支持。【牵头单位：县发展和改革局；责任单位：县经信局、县住建局、县民政局；完成时限：2026年2月底前建立项目库，全年滚动实施】</w:t>
      </w:r>
    </w:p>
    <w:p>
      <w:pPr>
        <w:spacing w:line="580" w:lineRule="exact" w:before="0" w:after="0"/>
        <w:ind w:firstLine="640"/>
        <w:jc w:val="left"/>
      </w:pPr>
      <w:r>
        <w:rPr>
          <w:rFonts w:ascii="黑体" w:hAnsi="黑体" w:eastAsia="黑体"/>
          <w:b w:val="0"/>
          <w:sz w:val="32"/>
        </w:rPr>
        <w:t>四、实施步骤</w:t>
      </w:r>
      <w:r>
        <w:rPr>
          <w:rFonts w:ascii="仿宋" w:hAnsi="仿宋" w:eastAsia="仿宋"/>
          <w:b w:val="0"/>
          <w:sz w:val="32"/>
        </w:rPr>
        <w:t>（一）动员部署阶段（2026年1—2月）：出台实施细则，开展政策宣讲，完成参与企业遴选。（二）组织实施阶段（2026年3—11月）：全面落实各项补贴政策，按月监测、按季调度，滚动纳入新增项目。（三）总结验收阶段（2026年12月）：全面总结政策实施成效，完成资金清算和绩效自评，形成年度报告上报。</w:t>
      </w:r>
    </w:p>
    <w:p>
      <w:pPr>
        <w:spacing w:line="580" w:lineRule="exact" w:before="0" w:after="0"/>
        <w:ind w:firstLine="640"/>
        <w:jc w:val="left"/>
      </w:pPr>
      <w:r>
        <w:rPr>
          <w:rFonts w:ascii="黑体" w:hAnsi="黑体" w:eastAsia="黑体"/>
          <w:b w:val="0"/>
          <w:sz w:val="32"/>
        </w:rPr>
        <w:t>五、保障措施</w:t>
      </w:r>
      <w:r>
        <w:rPr>
          <w:rFonts w:ascii="仿宋" w:hAnsi="仿宋" w:eastAsia="仿宋"/>
          <w:b w:val="0"/>
          <w:sz w:val="32"/>
        </w:rPr>
        <w:t>（一）强化组织领导。成立县“两新”工作专班，由县政府分管负责同志任组长，定期会商调度。（二）强化资金保障。统筹中央、省级奖补资金和县级配套资金，专款专用、全程监管。（三）强化宣传引导。用好政务新媒体、乡镇赶集日等渠道，推动政策进社区、进乡村、进企业。（四）强化督查考核。将“两新”工作纳入年度综合考核，对进度滞后的单位定期通报、跟踪问效。</w:t>
      </w:r>
    </w:p>
    <w:p>
      <w:pPr>
        <w:spacing w:line="580" w:lineRule="exact" w:before="0" w:after="0"/>
        <w:jc w:val="right"/>
      </w:pPr>
      <w:r>
        <w:rPr>
          <w:rFonts w:ascii="仿宋" w:hAnsi="仿宋" w:eastAsia="仿宋"/>
          <w:b w:val="0"/>
          <w:sz w:val="32"/>
        </w:rPr>
        <w:t xml:space="preserve">××县人民政府办公室　　　</w:t>
      </w:r>
    </w:p>
    <w:p>
      <w:pPr>
        <w:spacing w:line="580" w:lineRule="exact" w:before="0" w:after="0"/>
        <w:jc w:val="right"/>
      </w:pPr>
      <w:r>
        <w:rPr>
          <w:rFonts w:ascii="仿宋" w:hAnsi="仿宋" w:eastAsia="仿宋"/>
          <w:b w:val="0"/>
          <w:sz w:val="32"/>
        </w:rPr>
        <w:t xml:space="preserve">2026年×月×日　　</w:t>
      </w:r>
    </w:p>
    <w:sectPr w:rsidR="00FC693F" w:rsidRPr="0006063C" w:rsidSect="00034616">
      <w:pgSz w:w="12240" w:h="15840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