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120"/>
        <w:jc w:val="center"/>
      </w:pPr>
      <w:r>
        <w:rPr>
          <w:rFonts w:ascii="宋体" w:hAnsi="宋体" w:eastAsia="宋体"/>
          <w:b/>
          <w:sz w:val="40"/>
        </w:rPr>
        <w:t>关于××县新就业形态劳动者权益保障情况的调研报告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为落实中办、国办《关于加强新就业群体服务管理的意见》部署要求，摸清全县外卖骑手、快递员、网约车司机等新就业形态劳动者权益保障底数，2026年×月，县人力资源和社会保障局会同县总工会、县交通运输局等部门组成调研组，开展了为期【待补：xx】天的专题调研。现将有关情况报告如下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一、调研背景与方法</w:t>
      </w:r>
      <w:r>
        <w:rPr>
          <w:rFonts w:ascii="仿宋" w:hAnsi="仿宋" w:eastAsia="仿宋"/>
          <w:b w:val="0"/>
          <w:sz w:val="32"/>
        </w:rPr>
        <w:t>调研组采取实地走访、问卷调查、座谈访谈相结合的方式，实地走访外卖、快递平台站点【待补：xx】个，发放调查问卷【待补：xx】份（回收有效问卷【待补：xx】份），召开骑手、快递员座谈会【待补：xx】场，访谈平台企业、代理商负责人【待补：xx】人次，并调取了人社、税务、工会等部门相关数据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二、现状与主要成效</w:t>
      </w:r>
      <w:r>
        <w:rPr>
          <w:rFonts w:ascii="仿宋" w:hAnsi="仿宋" w:eastAsia="仿宋"/>
          <w:b w:val="0"/>
          <w:sz w:val="32"/>
        </w:rPr>
        <w:t>全县现有新就业形态劳动者约【待补：xx】人，其中外卖骑手【待补：xx】人、快递员【待补：xx】人、网约车司机【待补：xx】人。近年来，我县以新就业形态人员职业伤害保障试点为牵引，累计参保【待补：xx】人；建成暖新驿站（工会爱心驿站）【待补：xx】个，覆盖主要商圈和站点集中区域；推动【待补：xx】家平台企业开展算法与劳动规则协商，新就业形态劳动者权益保障“从无到有”的制度框架初步搭建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三、问题及原因分析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（一）“按单参保”落地不畅，参保链条存在断点。</w:t>
      </w:r>
      <w:r>
        <w:rPr>
          <w:rFonts w:ascii="仿宋" w:hAnsi="仿宋" w:eastAsia="仿宋"/>
          <w:b w:val="0"/>
          <w:sz w:val="32"/>
        </w:rPr>
        <w:t>职业伤害保障以“按单参保、保障与劳动关系脱钩”为制度设计，本是适配新业态的突破；但众包骑手跨平台、跨区域高频接单，参保信息在平台、社保经办、属地之间尚未贯通，漏保与重复参保并存，参保率【待补：xx%】与在册骑手数【待补：xx】人明显不匹配。根子在机制：跨部门数据归集缺少统一归口，属地经办的兜底责任划分不清，“数据孤岛”使“应保尽保”悬在半空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（二）算法规则“隐身”，知情与议价渠道偏弱。</w:t>
      </w:r>
      <w:r>
        <w:rPr>
          <w:rFonts w:ascii="仿宋" w:hAnsi="仿宋" w:eastAsia="仿宋"/>
          <w:b w:val="0"/>
          <w:sz w:val="32"/>
        </w:rPr>
        <w:t>县域站点多为加盟代理，算法制定权集中于平台总部，计酬方法、奖惩标准、防疲劳机制公开不到位，本地协商“无对象、无抓手”。机制症结在于协商主体错位、基层工会对站点“覆盖而不覆盖”，站点入会流于挂牌，协商成果难以传导到一线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（三）驿站“重建轻管”，服务供给与实际需求错位。</w:t>
      </w:r>
      <w:r>
        <w:rPr>
          <w:rFonts w:ascii="仿宋" w:hAnsi="仿宋" w:eastAsia="仿宋"/>
          <w:b w:val="0"/>
          <w:sz w:val="32"/>
        </w:rPr>
        <w:t>部分暖新驿站选址偏离骑手动线，开放时间与配送高峰错位，日常使用率仅【待补：xx%】；维权渠道分散在人社、工会、市场监管等多个口子，劳动者“不知找谁、来回跑腿”；职业技能培训和职业发展通道供给不足，队伍流动率高达【待补：xx%】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四、对策建议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（一）织密职业伤害“防护网”。</w:t>
      </w:r>
      <w:r>
        <w:rPr>
          <w:rFonts w:ascii="仿宋" w:hAnsi="仿宋" w:eastAsia="仿宋"/>
          <w:b w:val="0"/>
          <w:sz w:val="32"/>
        </w:rPr>
        <w:t>建立人社牵头、税务与平台及属地工会参与的参保信息共享平台，推行“一人一档、按单归集”，打通参保数据壁垒，明确属地经办兜底责任，力争【待补：时限】前实现出行、即时配送、同城货运三个行业平台参保“应保尽保”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（二）打开平台算法“黑箱”。</w:t>
      </w:r>
      <w:r>
        <w:rPr>
          <w:rFonts w:ascii="仿宋" w:hAnsi="仿宋" w:eastAsia="仿宋"/>
          <w:b w:val="0"/>
          <w:sz w:val="32"/>
        </w:rPr>
        <w:t>依托县级新就业群体党建联建平台，推动加盟站点与平台总部建立“县域协商代理”机制，将计酬规则、奖惩标准、防疲劳机制纳入协商清单并向劳动者公示，把总部算法“落地”为本地可议、可核的规则；对拒不公开、恶意压价的平台代理商，由行业主管部门约谈整改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（三）建强暖新驿站“服务圈”。</w:t>
      </w:r>
      <w:r>
        <w:rPr>
          <w:rFonts w:ascii="仿宋" w:hAnsi="仿宋" w:eastAsia="仿宋"/>
          <w:b w:val="0"/>
          <w:sz w:val="32"/>
        </w:rPr>
        <w:t>按照骑手动线优化驿站布点，明确运维主体和经费渠道，推行“扫码找站”提升可及性；整合维权渠道，在县矛调中心设立新就业形态劳动者维权“一站式”窗口；将骑手、快递员纳入职业技能提升行动补贴范围，打通向站长、调度员、社区网格员转岗的发展通道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以上报告，供领导决策参考。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××县新就业形态劳动者权益保障调研组　　　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2026年×月×日　　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