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920" w:lineRule="exact" w:before="0" w:after="40"/>
        <w:jc w:val="center"/>
      </w:pPr>
      <w:r>
        <w:rPr>
          <w:rFonts w:ascii="宋体" w:hAnsi="宋体" w:eastAsia="宋体"/>
          <w:b/>
          <w:color w:val="FF0000"/>
          <w:sz w:val="72"/>
        </w:rPr>
        <w:t>××政务信息</w:t>
      </w:r>
    </w:p>
    <w:p>
      <w:pPr>
        <w:spacing w:line="520" w:lineRule="exact" w:before="0" w:after="0"/>
        <w:jc w:val="center"/>
      </w:pPr>
      <w:r>
        <w:rPr>
          <w:rFonts w:ascii="仿宋" w:hAnsi="仿宋" w:eastAsia="仿宋"/>
          <w:b w:val="0"/>
          <w:sz w:val="30"/>
        </w:rPr>
        <w:t>第【待补：xx】期</w:t>
      </w:r>
    </w:p>
    <w:p>
      <w:pPr>
        <w:spacing w:line="520" w:lineRule="exact" w:before="0" w:after="0"/>
      </w:pPr>
      <w:r>
        <w:rPr>
          <w:rFonts w:ascii="仿宋" w:hAnsi="仿宋" w:eastAsia="仿宋"/>
          <w:b w:val="0"/>
          <w:sz w:val="28"/>
        </w:rPr>
        <w:t>××县人民政府办公室编</w:t>
      </w:r>
      <w:r>
        <w:rPr>
          <w:rFonts w:ascii="仿宋" w:hAnsi="仿宋" w:eastAsia="仿宋"/>
          <w:b w:val="0"/>
          <w:sz w:val="28"/>
        </w:rPr>
        <w:t xml:space="preserve">　　　　　　　　　　　　　　　　</w:t>
      </w:r>
      <w:r>
        <w:rPr>
          <w:rFonts w:ascii="仿宋" w:hAnsi="仿宋" w:eastAsia="仿宋"/>
          <w:b w:val="0"/>
          <w:sz w:val="28"/>
        </w:rPr>
        <w:t>2026年7月×日</w:t>
      </w:r>
    </w:p>
    <w:p>
      <w:pPr>
        <w:spacing w:after="160"/>
        <w:pBdr>
          <w:bottom w:val="single" w:sz="24" w:space="1" w:color="FF0000"/>
        </w:pBdr>
      </w:pPr>
    </w:p>
    <w:p>
      <w:pPr>
        <w:spacing w:line="720" w:lineRule="exact" w:before="0" w:after="120"/>
        <w:jc w:val="center"/>
      </w:pPr>
      <w:r>
        <w:rPr>
          <w:rFonts w:ascii="宋体" w:hAnsi="宋体" w:eastAsia="宋体"/>
          <w:b/>
          <w:sz w:val="40"/>
        </w:rPr>
        <w:t>××县三举措推进老年助餐扩面提质　服务覆盖率大幅提升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今年以来，××县聚焦老年人“吃饭难”痛点，以织密助餐网络、创新供餐模式、强化政策保障为抓手，推动老年助餐服务扩面提质，累计服务老年人【待补：xx】人次，群众满意度明显提升。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一是织密“一刻钟助餐圈”。按城乡分类布局，社区嵌入式食堂与老年助餐点相结合，今年新建改造助餐点【待补：xx】个，累计建成【待补：xx】个，实现城市社区全覆盖、农村地区基本覆盖。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二是创新“中央厨房+配送”模式。引入专业餐饮企业，采取“公建民营”方式运营，由中央厨房统一制餐、集中配送至各助餐点，兼顾堂食与外带，日供餐能力提升至【待补：xx】份。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三是强化政策资金保障。对低保、失能、高龄独居等特殊困难老年人给予差异化就餐补贴；同步用好“两新”政策，将适老化家居产品纳入以旧换新补贴范围，支持养老机构厨房设备更新，有效降低助餐运营成本。</w:t>
      </w:r>
    </w:p>
    <w:p>
      <w:pPr>
        <w:spacing w:line="580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目前，全县老年助餐服务覆盖率达【待补：xx%】，老年人满意率达【待补：xx%】，老年助餐服务网络实现由“有没有”向“好不好”转变。</w:t>
      </w:r>
    </w:p>
    <w:p>
      <w:pPr>
        <w:spacing w:line="520" w:lineRule="exact" w:before="0" w:after="0"/>
        <w:ind w:firstLine="560"/>
        <w:jc w:val="left"/>
      </w:pPr>
      <w:r>
        <w:rPr>
          <w:rFonts w:ascii="仿宋" w:hAnsi="仿宋" w:eastAsia="仿宋"/>
          <w:b w:val="0"/>
          <w:sz w:val="28"/>
        </w:rPr>
        <w:t>（报送：市政府办公室；分送：县四套班子领导。联系人：×××　电话：××××××）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