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輕車悠遊股份有限公司 函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受文者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發文日期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:中華民國 115 年 9 月【　】日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發文字號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:115 北輕字第 1150902001 號(發文前確認字軌未重複)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速別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:普通件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附件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:如附件清單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主旨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檢送本公司 113 年度及 114 年度經會計師查核簽證之財務報表各一式【　】份,依民間自行規劃參與宜蘭縣礁溪溫泉公園營運移轉(OT)案投資契約第 6.1 條規定送請 貴府備查,請查照。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說明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一、依據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依民間自行規劃參與宜蘭縣礁溪溫泉公園營運移轉(OT)案投資契約(下稱本契約)第 6.1 條:「乙方應於每年 6 月 30 日前提送前一年經會計師簽證之年度財務報表送甲方備查。」辦理。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二、113 年度財務報表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本公司 113 年度財務報告前經 貴府 115 年 1 月 20 日府旅商字第 1150010946 號函函詢,並經本公司以 115 年 4 月 8 日 115 北輕字第 11500408 號函檢送補充說明及「財務報告後續改善暨增資計畫」在案。茲檢送 113 年度經會計師查核簽證之財務報表全份(如附件 1),送請 貴府備查。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三、114 年度財務報表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本公司 114 年度財務報表業經會計師於 115 年【　】月【　】日完成查核簽證,茲檢送全份如附件 2,送請 貴府備查。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四、財務結構改善辦理情形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本公司財務結構改善及增資辦理情形,另以本公司 115 年 9 月【　】日 115 北輕字第 1150902002 號函檢附經濟部核准變更登記文件報請 貴府備查,併予敘明。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五、後續配合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 貴府就旨揭財務報表內容尚有意見,請惠予函知,本公司將依限補充說明。</w:t>
      </w:r>
    </w:p>
    <w:p>
      <w:pPr>
        <w:pBdr>
          <w:bottom w:val="single" w:color="999999" w:sz="6"/>
        </w:pBdr>
        <w:spacing w:after="160" w:before="12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副本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:鼎漢國際工程顧問股份有限公司、本公司委任律師事務所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附件清單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1:113 年度經會計師查核簽證之財務報表(含查核報告書)一式【　】份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 2:114 年度經會計師查核簽證之財務報表(含查核報告書)一式【　】份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【製作說明-發文前刪除】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契約第 6.1 條之出處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:條文文字引自 貴府 114 年 4 月 23 日府旅商字第 1140063118 號函說明二所載,為縣府自引之條文,採據安全;惟依工作慣例,發文前仍以契約正本覆核條號與文字(掃描本僅第 22~24 頁經完整判讀)。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113 年度財報是否已送過簽證版,發文前必查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:縣府 115/1/20 府旅商字第 1150010946 號函係就「113 年度財務報告」函詢,顯示 113 年度財報(或自結版)先前已送府。若經會計師簽證之 113 年度財報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先前已送且無更新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,本函應改為僅檢送 114 年度財報,說明二改寫為「113 年度財報業以○年○月○日○號函送請備查在案」;若本次為簽證版首送或更正版,維持現稿並可於說明二末加註版本。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114 年度財報已逾契約第 6.1 條之 6 月 30 日期限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。縣府就 111 年度財報逾期曾開立一般違約通知並處違約金 3 萬元(見府旅商字第 1140063118 號函說明二),故:①簽證完成日期填入說明三,據實敘明,不迴避也不自責;②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完成用印後儘速親送,勿再延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。逾期原因如擬敘明(會計師查核作業時程),以一句話帶過即可,不作抗辯論述。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空白欄位:主旨與附件之份數、說明三簽證日期、說明四之發文日期,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未填不得發文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5.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附件列了就要真的附:兩年度財報須為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經會計師查核簽證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之完整版本(含查核報告書),缺一年度即修改主旨與附件清單,不得虛列。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6.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副本欄發文前確認;不副知廉政署、監察院。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7.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親送取戳,回執掃描歸檔,回填收發文登記簿。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本函與文 19(增資備查函)同批發文,兩函互為引據,字號與日期須一致對應。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2026-09-02T14:54:11.809Z</dcterms:created>
  <dcterms:modified xsi:type="dcterms:W3CDTF">2026-09-02T14:54:11.810Z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