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W w:w="1474" w:type="dxa"/>
        <w:tblLayout w:type="fixed"/>
      </w:tblPr>
      <w:tblGrid>
        <w:gridCol w:w="1474"/>
      </w:tblGrid>
      <w:tr>
        <w:tc>
          <w:tcPr>
            <w:tcW w:type="dxa" w:w="1474"/>
            <w:tcBorders>
              <w:top w:val="single" w:sz="8" w:color="000000"/>
              <w:left w:val="single" w:sz="8" w:color="000000"/>
              <w:bottom w:val="single" w:sz="8" w:color="000000"/>
              <w:right w:val="single" w:sz="8" w:color="000000"/>
            </w:tcBorders>
          </w:tcPr>
          <w:p>
            <w:pPr>
              <w:jc w:val="center"/>
            </w:pPr>
            <w:r>
              <w:rPr>
                <w:rFonts w:ascii="標楷體" w:hAnsi="標楷體" w:eastAsia="標楷體"/>
                <w:b w:val="0"/>
                <w:sz w:val="24"/>
              </w:rPr>
              <w:t>正　本</w:t>
            </w:r>
          </w:p>
        </w:tc>
      </w:tr>
    </w:tbl>
    <w:p>
      <w:pPr>
        <w:spacing w:before="120" w:after="120"/>
        <w:jc w:val="center"/>
      </w:pPr>
      <w:r>
        <w:rPr>
          <w:rFonts w:ascii="標楷體" w:hAnsi="標楷體" w:eastAsia="標楷體"/>
          <w:b w:val="0"/>
          <w:sz w:val="40"/>
        </w:rPr>
        <w:t>輕車悠遊股份有限公司　函</w:t>
      </w:r>
    </w:p>
    <w:p>
      <w:pPr>
        <w:spacing w:before="0" w:after="0" w:line="280" w:lineRule="exact"/>
        <w:ind w:left="4422"/>
      </w:pPr>
      <w:r>
        <w:rPr>
          <w:rFonts w:ascii="標楷體" w:hAnsi="標楷體" w:eastAsia="標楷體"/>
          <w:b w:val="0"/>
          <w:sz w:val="22"/>
        </w:rPr>
        <w:t>地　　址:262宜蘭縣礁溪鄉公園路16號(營運地點)</w:t>
      </w:r>
    </w:p>
    <w:p>
      <w:pPr>
        <w:spacing w:before="0" w:after="0" w:line="280" w:lineRule="exact"/>
        <w:ind w:left="4422"/>
      </w:pPr>
      <w:r>
        <w:rPr>
          <w:rFonts w:ascii="標楷體" w:hAnsi="標楷體" w:eastAsia="標楷體"/>
          <w:b w:val="0"/>
          <w:sz w:val="22"/>
        </w:rPr>
        <w:t>承 辦 人:鄭玉屏(手機:0975-328-779)</w:t>
      </w:r>
    </w:p>
    <w:p>
      <w:pPr>
        <w:spacing w:before="0" w:after="0" w:line="280" w:lineRule="exact"/>
        <w:ind w:left="4422"/>
      </w:pPr>
      <w:r>
        <w:rPr>
          <w:rFonts w:ascii="標楷體" w:hAnsi="標楷體" w:eastAsia="標楷體"/>
          <w:b w:val="0"/>
          <w:sz w:val="22"/>
        </w:rPr>
        <w:t>電　　話:03 987 6416</w:t>
      </w:r>
    </w:p>
    <w:p>
      <w:pPr>
        <w:spacing w:before="0" w:after="0" w:line="280" w:lineRule="exact"/>
        <w:ind w:left="4422"/>
      </w:pPr>
      <w:r>
        <w:rPr>
          <w:rFonts w:ascii="標楷體" w:hAnsi="標楷體" w:eastAsia="標楷體"/>
          <w:b w:val="0"/>
          <w:sz w:val="22"/>
        </w:rPr>
        <w:t>電子信箱:onlycoffee99@gmail.com</w:t>
      </w:r>
    </w:p>
    <w:p>
      <w:pPr>
        <w:spacing w:before="0" w:after="0"/>
      </w:pPr>
      <w:r>
        <w:rPr>
          <w:rFonts w:ascii="標楷體" w:hAnsi="標楷體" w:eastAsia="標楷體"/>
          <w:b w:val="0"/>
          <w:sz w:val="16"/>
        </w:rPr>
      </w:r>
    </w:p>
    <w:p>
      <w:pPr>
        <w:spacing w:before="0" w:after="0"/>
      </w:pPr>
      <w:r>
        <w:rPr>
          <w:rFonts w:ascii="標楷體" w:hAnsi="標楷體" w:eastAsia="標楷體"/>
          <w:b w:val="0"/>
          <w:sz w:val="22"/>
        </w:rPr>
        <w:t>260</w:t>
      </w:r>
    </w:p>
    <w:p>
      <w:pPr>
        <w:spacing w:before="0" w:after="0"/>
      </w:pPr>
      <w:r>
        <w:rPr>
          <w:rFonts w:ascii="標楷體" w:hAnsi="標楷體" w:eastAsia="標楷體"/>
          <w:b w:val="0"/>
          <w:sz w:val="24"/>
        </w:rPr>
        <w:t>宜蘭市凱旋里三鄰縣政北路一號</w:t>
      </w:r>
    </w:p>
    <w:p>
      <w:pPr>
        <w:spacing w:before="0" w:after="0"/>
      </w:pPr>
      <w:r>
        <w:rPr>
          <w:rFonts w:ascii="標楷體" w:hAnsi="標楷體" w:eastAsia="標楷體"/>
          <w:b w:val="0"/>
          <w:sz w:val="12"/>
        </w:rPr>
      </w:r>
    </w:p>
    <w:p>
      <w:pPr>
        <w:spacing w:before="0" w:after="120"/>
      </w:pPr>
      <w:r>
        <w:rPr>
          <w:rFonts w:ascii="標楷體" w:hAnsi="標楷體" w:eastAsia="標楷體"/>
          <w:b/>
          <w:sz w:val="30"/>
        </w:rPr>
        <w:t>受文者:宜蘭縣政府</w:t>
      </w:r>
    </w:p>
    <w:p>
      <w:pPr>
        <w:spacing w:before="0" w:after="0"/>
      </w:pPr>
      <w:r>
        <w:rPr>
          <w:rFonts w:ascii="標楷體" w:hAnsi="標楷體" w:eastAsia="標楷體"/>
          <w:b w:val="0"/>
          <w:sz w:val="24"/>
        </w:rPr>
        <w:t>發文日期:中華民國115年10月28日</w:t>
      </w:r>
    </w:p>
    <w:p>
      <w:pPr>
        <w:spacing w:before="0" w:after="0"/>
      </w:pPr>
      <w:r>
        <w:rPr>
          <w:rFonts w:ascii="標楷體" w:hAnsi="標楷體" w:eastAsia="標楷體"/>
          <w:b w:val="0"/>
          <w:sz w:val="24"/>
        </w:rPr>
        <w:t>發文字號:115北輕字第1151028-1號</w:t>
      </w:r>
    </w:p>
    <w:p>
      <w:pPr>
        <w:spacing w:before="0" w:after="0"/>
      </w:pPr>
      <w:r>
        <w:rPr>
          <w:rFonts w:ascii="標楷體" w:hAnsi="標楷體" w:eastAsia="標楷體"/>
          <w:b w:val="0"/>
          <w:sz w:val="24"/>
        </w:rPr>
        <w:t>速　　別:普通件</w:t>
      </w:r>
    </w:p>
    <w:p>
      <w:pPr>
        <w:spacing w:before="0" w:after="0"/>
      </w:pPr>
      <w:r>
        <w:rPr>
          <w:rFonts w:ascii="標楷體" w:hAnsi="標楷體" w:eastAsia="標楷體"/>
          <w:b w:val="0"/>
          <w:sz w:val="24"/>
        </w:rPr>
        <w:t>密等及解密條件或保密期限:普通</w:t>
      </w:r>
    </w:p>
    <w:p>
      <w:pPr>
        <w:spacing w:before="0" w:after="160"/>
      </w:pPr>
      <w:r>
        <w:rPr>
          <w:rFonts w:ascii="標楷體" w:hAnsi="標楷體" w:eastAsia="標楷體"/>
          <w:b w:val="0"/>
          <w:sz w:val="24"/>
        </w:rPr>
        <w:t>附　　件:略。</w:t>
      </w:r>
    </w:p>
    <w:p>
      <w:pPr>
        <w:spacing w:before="0" w:after="160" w:line="440" w:lineRule="exact"/>
        <w:ind w:left="964" w:hanging="964"/>
      </w:pPr>
      <w:r>
        <w:rPr>
          <w:rFonts w:ascii="標楷體" w:hAnsi="標楷體" w:eastAsia="標楷體"/>
          <w:b w:val="0"/>
          <w:sz w:val="28"/>
        </w:rPr>
        <w:t>主旨:為改善「礁溪溫泉公園森林風呂」木棧道、圍籬等設施因長期風雨及碳酸氫鈉泉區潮濕環境而反覆受損之情形，確保營運安全與服務品質，提出「全面結構健檢與長效耐候材質重置」建議方案，請鑒核並惠予召開協商會議。</w:t>
      </w:r>
    </w:p>
    <w:p>
      <w:pPr>
        <w:spacing w:before="0" w:after="0"/>
      </w:pPr>
      <w:r>
        <w:rPr>
          <w:rFonts w:ascii="標楷體" w:hAnsi="標楷體" w:eastAsia="標楷體"/>
          <w:b w:val="0"/>
          <w:sz w:val="28"/>
        </w:rPr>
        <w:t>說明:</w:t>
      </w:r>
    </w:p>
    <w:p>
      <w:pPr>
        <w:spacing w:before="0" w:after="40" w:line="440" w:lineRule="exact"/>
        <w:ind w:left="680" w:hanging="369"/>
      </w:pPr>
      <w:r>
        <w:rPr>
          <w:rFonts w:ascii="標楷體" w:hAnsi="標楷體" w:eastAsia="標楷體"/>
          <w:b w:val="0"/>
          <w:sz w:val="28"/>
        </w:rPr>
        <w:t>一、臨時加固之侷限性：</w:t>
      </w:r>
    </w:p>
    <w:p>
      <w:pPr>
        <w:spacing w:before="0" w:after="80" w:line="440" w:lineRule="exact"/>
        <w:ind w:left="1361" w:hanging="624"/>
      </w:pPr>
      <w:r>
        <w:rPr>
          <w:rFonts w:ascii="標楷體" w:hAnsi="標楷體" w:eastAsia="標楷體"/>
          <w:b w:val="0"/>
          <w:sz w:val="28"/>
        </w:rPr>
        <w:t>本年10月23日至24日薔琵颱風過境，園區木棧道、圍籬受損並有樹木傾倒。本公司為兼顧遊客安全及服務不中斷，於10月25日至26日短暫停業二日，完成緊急清理與應急加固後恢復營業。</w:t>
      </w:r>
    </w:p>
    <w:p>
      <w:pPr>
        <w:spacing w:before="0" w:after="80" w:line="440" w:lineRule="exact"/>
        <w:ind w:left="1361" w:hanging="624"/>
      </w:pPr>
      <w:r>
        <w:rPr>
          <w:rFonts w:ascii="標楷體" w:hAnsi="標楷體" w:eastAsia="標楷體"/>
          <w:b w:val="0"/>
          <w:sz w:val="28"/>
        </w:rPr>
        <w:t>經現場檢視，木棧道及圍籬長年處於風雨及碳酸氫鈉泉區潮濕環境，多處木構件已有腐朽、鬆動情形；短期加固僅能暫時維持使用，難以因應日後頻繁之極端天候，確有就結構本體通盤檢討之必要。</w:t>
      </w:r>
    </w:p>
    <w:p>
      <w:pPr>
        <w:spacing w:before="0" w:after="40" w:line="440" w:lineRule="exact"/>
        <w:ind w:left="680" w:hanging="369"/>
      </w:pPr>
      <w:r>
        <w:rPr>
          <w:rFonts w:ascii="標楷體" w:hAnsi="標楷體" w:eastAsia="標楷體"/>
          <w:b w:val="0"/>
          <w:sz w:val="28"/>
        </w:rPr>
        <w:t>二、結構修繕權責：</w:t>
      </w:r>
    </w:p>
    <w:p>
      <w:pPr>
        <w:spacing w:before="0" w:after="80" w:line="440" w:lineRule="exact"/>
        <w:ind w:left="1361" w:hanging="624"/>
      </w:pPr>
      <w:r>
        <w:rPr>
          <w:rFonts w:ascii="標楷體" w:hAnsi="標楷體" w:eastAsia="標楷體"/>
          <w:b w:val="0"/>
          <w:sz w:val="28"/>
        </w:rPr>
        <w:t>查本園區屬縣有公有財產。有關固定不可移動之木造建築主體結構之修繕權責，本公司業於115年9月2日第31次履約管理會議提出，應依投資契約相關約定釐清。本公司認為建築主體結構之修繕與資產重置非屬本公司維管範圍，如 貴府見解不同，敬請釋明契約依據。</w:t>
      </w:r>
    </w:p>
    <w:p>
      <w:pPr>
        <w:spacing w:before="0" w:after="80" w:line="440" w:lineRule="exact"/>
        <w:ind w:left="1361" w:hanging="624"/>
      </w:pPr>
      <w:r>
        <w:rPr>
          <w:rFonts w:ascii="標楷體" w:hAnsi="標楷體" w:eastAsia="標楷體"/>
          <w:b w:val="0"/>
          <w:sz w:val="28"/>
        </w:rPr>
        <w:t>本次颱風後之應急加固，係本公司為即時消除遊客安全危害所為之必要處置，不表示本公司同意負擔結構本體之修繕或重置責任，本公司就此所生費用及相關權益均予保留。</w:t>
      </w:r>
    </w:p>
    <w:p>
      <w:pPr>
        <w:spacing w:before="0" w:after="40" w:line="440" w:lineRule="exact"/>
        <w:ind w:left="680" w:hanging="369"/>
      </w:pPr>
      <w:r>
        <w:rPr>
          <w:rFonts w:ascii="標楷體" w:hAnsi="標楷體" w:eastAsia="標楷體"/>
          <w:b w:val="0"/>
          <w:sz w:val="28"/>
        </w:rPr>
        <w:t>三、觀光形象與永續經營：</w:t>
      </w:r>
    </w:p>
    <w:p>
      <w:pPr>
        <w:spacing w:before="0" w:after="80" w:line="440" w:lineRule="exact"/>
        <w:ind w:left="1361" w:hanging="624"/>
      </w:pPr>
      <w:r>
        <w:rPr>
          <w:rFonts w:ascii="標楷體" w:hAnsi="標楷體" w:eastAsia="標楷體"/>
          <w:b w:val="0"/>
          <w:sz w:val="28"/>
        </w:rPr>
        <w:t>礁溪溫泉公園為宜蘭縣指標性觀光場域，森林風呂結構如未能及早通盤翻新，除增加營運安全隱患外，亦恐影響整體觀光形象。</w:t>
      </w:r>
    </w:p>
    <w:p>
      <w:pPr>
        <w:spacing w:before="0" w:after="40" w:line="440" w:lineRule="exact"/>
        <w:ind w:left="680" w:hanging="369"/>
      </w:pPr>
      <w:r>
        <w:rPr>
          <w:rFonts w:ascii="標楷體" w:hAnsi="標楷體" w:eastAsia="標楷體"/>
          <w:b w:val="0"/>
          <w:sz w:val="28"/>
        </w:rPr>
        <w:t>四、具體建議方案（執行步驟）：</w:t>
      </w:r>
    </w:p>
    <w:p>
      <w:pPr>
        <w:spacing w:before="0" w:after="80" w:line="440" w:lineRule="exact"/>
        <w:ind w:left="1361" w:hanging="624"/>
      </w:pPr>
      <w:r>
        <w:rPr>
          <w:rFonts w:ascii="標楷體" w:hAnsi="標楷體" w:eastAsia="標楷體"/>
          <w:b w:val="0"/>
          <w:sz w:val="28"/>
        </w:rPr>
        <w:t>（一）階段一：辦理全面結構安全總體檢（建議於1個月內）。建議由 貴府會同本公司，委請第三方土木或木構造專業技師，對全園區木棧道、圍籬及泡湯設施進行結構安全評估，出具正式鑑定報告，明確界定須進行根本性重置之區域。</w:t>
      </w:r>
    </w:p>
    <w:p>
      <w:pPr>
        <w:spacing w:before="0" w:after="80" w:line="440" w:lineRule="exact"/>
        <w:ind w:left="1361" w:hanging="624"/>
      </w:pPr>
      <w:r>
        <w:rPr>
          <w:rFonts w:ascii="標楷體" w:hAnsi="標楷體" w:eastAsia="標楷體"/>
          <w:b w:val="0"/>
          <w:sz w:val="28"/>
        </w:rPr>
        <w:t>（二）階段二：推動「耐候抗腐材質」升級改建（中長期工程）。針對露天且長期受碳酸氫鈉泉區潮濕環境影響之木構造，建議改採高耐候抗腐材質，如不鏽鋼金屬骨架搭配環保仿木複合建材，從根本改善木板易朽、易塌之情形，並降低後續維護成本。</w:t>
      </w:r>
    </w:p>
    <w:p>
      <w:pPr>
        <w:spacing w:before="0" w:after="80" w:line="440" w:lineRule="exact"/>
        <w:ind w:left="1361" w:hanging="624"/>
      </w:pPr>
      <w:r>
        <w:rPr>
          <w:rFonts w:ascii="標楷體" w:hAnsi="標楷體" w:eastAsia="標楷體"/>
          <w:b w:val="0"/>
          <w:sz w:val="28"/>
        </w:rPr>
        <w:t>（三）階段三：編列資產重置專款及協商經費分工。懇請 貴府將森林風呂結構重置納入年度公共設施維護或災害復建專案預算，由 貴府支應工程經費；本公司全力配合施工期程之營運調度與現場協管，共同維護遊客安全。</w:t>
      </w:r>
    </w:p>
    <w:p>
      <w:pPr>
        <w:spacing w:before="0" w:after="80" w:line="440" w:lineRule="exact"/>
        <w:ind w:left="680" w:hanging="369"/>
      </w:pPr>
      <w:r>
        <w:rPr>
          <w:rFonts w:ascii="標楷體" w:hAnsi="標楷體" w:eastAsia="標楷體"/>
          <w:b w:val="0"/>
          <w:sz w:val="28"/>
        </w:rPr>
        <w:t>五、為利上開方案推動，敬請 貴府於文到後惠予召開協商會議，並指派聯繫窗口，俾本公司配合辦理。</w:t>
      </w:r>
    </w:p>
    <w:p>
      <w:pPr>
        <w:spacing w:before="0" w:after="0"/>
      </w:pPr>
      <w:r>
        <w:rPr>
          <w:rFonts w:ascii="標楷體" w:hAnsi="標楷體" w:eastAsia="標楷體"/>
          <w:b w:val="0"/>
          <w:sz w:val="12"/>
        </w:rPr>
      </w:r>
    </w:p>
    <w:p>
      <w:pPr>
        <w:spacing w:before="0" w:after="0"/>
      </w:pPr>
      <w:r>
        <w:rPr>
          <w:rFonts w:ascii="標楷體" w:hAnsi="標楷體" w:eastAsia="標楷體"/>
          <w:b w:val="0"/>
          <w:sz w:val="24"/>
        </w:rPr>
        <w:t>正本:宜蘭縣政府</w:t>
      </w:r>
    </w:p>
    <w:p>
      <w:pPr>
        <w:spacing w:before="0" w:after="240"/>
      </w:pPr>
      <w:r>
        <w:rPr>
          <w:rFonts w:ascii="標楷體" w:hAnsi="標楷體" w:eastAsia="標楷體"/>
          <w:b w:val="0"/>
          <w:sz w:val="24"/>
        </w:rPr>
        <w:t>副本:輕車悠遊股份有限公司</w:t>
      </w:r>
    </w:p>
    <w:p>
      <w:pPr>
        <w:spacing w:before="360"/>
      </w:pPr>
      <w:r>
        <w:drawing>
          <wp:inline xmlns:a="http://schemas.openxmlformats.org/drawingml/2006/main" xmlns:pic="http://schemas.openxmlformats.org/drawingml/2006/picture">
            <wp:extent cx="3600000" cy="662165"/>
            <wp:docPr id="1" name="Picture 1"/>
            <wp:cNvGraphicFramePr>
              <a:graphicFrameLocks noChangeAspect="1"/>
            </wp:cNvGraphicFramePr>
            <a:graphic>
              <a:graphicData uri="http://schemas.openxmlformats.org/drawingml/2006/picture">
                <pic:pic>
                  <pic:nvPicPr>
                    <pic:cNvPr id="0" name="董事長簽名.jpg"/>
                    <pic:cNvPicPr/>
                  </pic:nvPicPr>
                  <pic:blipFill>
                    <a:blip r:embed="rId9"/>
                    <a:stretch>
                      <a:fillRect/>
                    </a:stretch>
                  </pic:blipFill>
                  <pic:spPr>
                    <a:xfrm>
                      <a:off x="0" y="0"/>
                      <a:ext cx="3600000" cy="662165"/>
                    </a:xfrm>
                    <a:prstGeom prst="rect"/>
                  </pic:spPr>
                </pic:pic>
              </a:graphicData>
            </a:graphic>
          </wp:inline>
        </w:drawing>
      </w:r>
    </w:p>
    <w:sectPr w:rsidR="00FC693F" w:rsidRPr="0006063C" w:rsidSect="00034616">
      <w:footerReference w:type="default" r:id="rId10"/>
      <w:pgSz w:w="11906" w:h="16838"/>
      <w:pgMar w:top="85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標楷體" w:hAnsi="標楷體" w:eastAsia="標楷體"/>
        <w:b w:val="0"/>
        <w:sz w:val="20"/>
      </w:rPr>
      <w:t xml:space="preserve">第 </w:t>
    </w:r>
    <w:r>
      <w:rPr>
        <w:rFonts w:ascii="標楷體" w:hAnsi="標楷體" w:eastAsia="標楷體"/>
        <w:b w:val="0"/>
        <w:sz w:val="20"/>
      </w:rPr>
      <w:fldChar w:fldCharType="begin"/>
      <w:instrText xml:space="preserve">PAGE</w:instrText>
      <w:fldChar w:fldCharType="end"/>
    </w:r>
    <w:r>
      <w:rPr>
        <w:rFonts w:ascii="標楷體" w:hAnsi="標楷體" w:eastAsia="標楷體"/>
        <w:b w:val="0"/>
        <w:sz w:val="20"/>
      </w:rPr>
      <w:t xml:space="preserve"> 頁 共 </w:t>
    </w:r>
    <w:r>
      <w:rPr>
        <w:rFonts w:ascii="標楷體" w:hAnsi="標楷體" w:eastAsia="標楷體"/>
        <w:b w:val="0"/>
        <w:sz w:val="20"/>
      </w:rPr>
      <w:fldChar w:fldCharType="begin"/>
      <w:instrText xml:space="preserve">NUMPAGES</w:instrText>
      <w:fldChar w:fldCharType="end"/>
    </w:r>
    <w:r>
      <w:rPr>
        <w:rFonts w:ascii="標楷體" w:hAnsi="標楷體" w:eastAsia="標楷體"/>
        <w:b w:val="0"/>
        <w:sz w:val="20"/>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