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sz w:val="32"/>
          <w:szCs w:val="32"/>
        </w:rPr>
        <w:t xml:space="preserve">縣府 115/3/20 審查意見函|深度解析暨攻防對照表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解析對象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:宜蘭縣政府 115 年 3 月 20 日府旅商字第 1150038859 號函(依鼎漢國際工程顧問公司 115/3/5 鼎業營字第 1150000638 號審查意見辦理)
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解析依據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:投資契約(掃描本第 22~24 頁完整判讀,其餘轉引自函文)、歷次履約會議紀錄、縣府歷次函文、文 10 爭點對照表</w:t>
      </w:r>
    </w:p>
    <w:p>
      <w:pPr>
        <w:pBdr>
          <w:left w:val="single" w:color="8899AA" w:sz="18" w:space="8"/>
        </w:pBdr>
        <w:shd w:fill="F4F6F8" w:val="clear"/>
        <w:spacing w:after="100" w:line="30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遵循原則:陳述與評價分離;僅列可查證事實及出處;法律適用疑義以「請釋明契約依據」形式處理,不逕行認定對方違法;不推論任何人員動機。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壹、來文深度解析(逐條拆解)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一、來文整體定性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本函 15 項審查意見中,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12 項屬期程、格式或佐證補充性質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(1-1、1-4、2、3、4、5 期程更正;6-1~6-5 佐證補充;7 附件檢附),無實質攻防價值,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快速照辦反而是最有利的處理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——展現誠信履約態度,並使爭點收斂到真正的攻防項目。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實質爭點僅二: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編號 1-3(票券履約保障)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與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回饋事項之「辦理情形」認定(尤其 6-1)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審查意見係轉據顧問公司(鼎漢)意見作成。顧問審查屬縣府履約管理之輔助,最終仍為縣府之行政行為;逐項回復時受文對象為縣府,毋庸與顧問公司爭執。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二、對方論理上可指摘之處(需依鐵律以「請釋明」形式處理)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「備查」與「核定」之混用(邏輯矛盾,有縣府自己的文件可對照)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契約第 5.5.4 條原文為年度營運計畫「送請甲方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備查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」,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並無「核定」二字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;縣府 112/11/13 第 9 次履約會議決議卻稱票券計畫「未經本府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核定及備查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前,自不可逕為發行」。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縣府《協調陳述意見書》就同一契約第 5.9 條之「備查」,自己解釋為「僅係約定……需事前使相對人知悉」——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同一契約同一用語,縣府於二份文件採相反解釋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攻防方式:不指控「擅改契約」(鐵律六句之⑤:第 5.9 條原文即有「應先」二字,不得主張遭擅加),而是並列二份縣府文件,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函請縣府就「備查」之解釋為統一說明,並釋明「核定」二字之契約依據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審查意見未考量營運中斷之歷史事實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票券沿革記載「時間重疊、期程不明確」(1-2),其根本原因係 105/9/1 接管(經臺北高等行政法院 107 年度訴更一字第 71 號判決撤銷、最高行政法院 111 年度上字第 149 號判決確定)造成之系統更迭:墨攻(103/2/8</w:t>
      </w:r>
      <w:r>
        <w:rPr>
          <w:rFonts w:ascii="Microsoft JhengHei" w:cs="Microsoft JhengHei" w:eastAsia="Microsoft JhengHei" w:hAnsi="Microsoft JhengHei"/>
          <w:strike/>
          <w:sz w:val="21"/>
          <w:szCs w:val="21"/>
        </w:rPr>
        <w:t xml:space="preserve">104/5/8)→大賀(104/9/9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110/9/30)→110/10/1~111/11/17 因系統移轉及信託事宜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無票券發行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。此非管理紊亂,而是接管中斷之後果。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回饋事項要求「補充 114 年度辦理情形」,未區分「本公司應主動辦理之項目」與「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額度保留、待縣府動用之項目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」(6-1):縣府 114 年度未提出借用需求,額度未動用即非可歸責於本公司——要求本公司就縣府未動用之額度舉證「辦理情形」,論理上倒置。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編號 1-3 之定位務必誠實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:縣府要求票券載明履約保障機制,係本於消保法第 17 條之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法定職權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,四次裁罰(112/7/28 三萬、113/9/18 五萬、114/3/25 十萬、115/4/14 十五萬)均未提訴願、均已確定,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合規義務本身不能爭、也不必爭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。可爭的只有一層:「消保法上之改正義務」與「契約上備查之解釋、得否發行票券」分屬二事,回復中必須切分(對應 12A 說明六),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承認消保法改正 ≠ 承認「備查=核定」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4.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裁量面可留意但不宜正面指摘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:審查意見要求載明履約保障機制,而線上票券係由電子票券平台以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信託方式代售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——依「商品(服務)禮券定型化契約應記載事項」,信託本即履約保障方式之一。若平台信託契約取得後證實線上通路已具保障,則應改正範圍僅餘自行發行之實體票券,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改善範圍可大幅縮小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。此為 12A 之有利佐證,先索取、後主張,不預先放話。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三、不可歸責於本公司之外部因素(可查證、可主張)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#</w:t>
            </w: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外部因素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可查證出處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105/9/1 縣府接管,經法院判決撤銷確定;111/10/31 始復業,營運中斷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6 年 2 個月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臺北高等行政法院 107 年度訴更一字第 71 號判決、最高行政法院 111 年度上字第 149 號判決、111/10/30 移交接管紀錄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104 年度營運績效評估未辦理,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縣府自認係因接管所致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縣府 113/9/12 府旅商字第 1130153808 號函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票券系統因中斷及移轉、信託事宜,110/10/1~111/11/17 無票券發行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票券系統沿革紀錄(墨攻/大賀合約)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復業迄今未滿 4 年,營運及回饋機制係中斷後重建;本公司依契約第 15.4 條於爭議期間繼續履約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111/10/31 復業紀錄、歷次履約會議紀錄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回饋分項 1 額度未動用,係因縣府 114 年度未提出借用需求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114 年度往來紀錄(無借用函文即為消極事實,由縣府反證)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票券發行架構涉電子票券平台信託代售之第三方協力,改正時程受外部配合影響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各平台合作合約;信託契約(索取中)</w:t>
            </w:r>
          </w:p>
        </w:tc>
      </w:tr>
    </w:tbl>
    <w:p>
      <w:pPr>
        <w:spacing w:after="60"/>
      </w:pPr>
    </w:p>
    <w:p>
      <w:pPr>
        <w:pBdr>
          <w:left w:val="single" w:color="8899AA" w:sz="18" w:space="8"/>
        </w:pBdr>
        <w:shd w:fill="F4F6F8" w:val="clear"/>
        <w:spacing w:after="100" w:line="300"/>
        <w:ind w:left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⚠️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不得列入之項目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(鐵律):「點交迄未完全」(縣府有 112/6/5 全數解列紀錄)、「縣府自營年虧 700 萬」(無佐證)、「歷年已達半數甲等」(實為 1 甲 2 乙)、對任何人員動機之推論。</w:t>
      </w:r>
    </w:p>
    <w:p>
      <w:pPr>
        <w:pBdr>
          <w:bottom w:val="single" w:color="999999" w:sz="6"/>
        </w:pBdr>
        <w:spacing w:after="160" w:before="12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貳、攻防對照表(三欄式)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宜蘭縣政府/顧問公司審查意見或質疑</w:t>
            </w: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契約依據與歷史事實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本公司具體回應、不可歸責之客觀事由與佐證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1-1、1-4、2、3、4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各分項預定執行期程有誤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計畫書涵蓋年度為 115 年度;期程記載屬格式事項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已全面通盤檢視,統一更正為「115/1/1~115/12/31」,規劃中項目另載預定開始時點。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佐證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:修正後計畫書(附件二)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1-2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票券販售說明二、三時間重疊、期程不明確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歷史事實:墨攻系統 103/2/8</w:t>
            </w:r>
            <w:r>
              <w:rPr>
                <w:rFonts w:ascii="Microsoft JhengHei" w:cs="Microsoft JhengHei" w:eastAsia="Microsoft JhengHei" w:hAnsi="Microsoft JhengHei"/>
                <w:strike/>
                <w:sz w:val="20"/>
                <w:szCs w:val="20"/>
              </w:rPr>
              <w:t xml:space="preserve">104/5/8;大賀系統 104/9/9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110/9/30;110/10/1~111/11/17 因系統移轉及信託事宜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無票券發行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。系統更迭肇因於 105/9/1 接管(經臺北高等行政法院 107 訴更一字 71 號判決撤銷、最高行政法院 111 上字 149 號判決確定)所致之營運中斷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期程已釐清載明;104/5/9~104/9/8 期間另補述。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不可歸責事由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:沿革繁複係接管中斷之客觀後果,非管理疏失。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佐證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:歷代系統合約、判決書、111/10/30 移交接管紀錄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1-3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票券應載明預付型交易履約保障機制及逾保障期間履約責任;預售票券不得記載使用期限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消保法第 17 條、禮券應記載及不得記載事項=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法定義務,不爭執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;惟契約第 5.5.4 條原文為「送請甲方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備查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」,無「核定」二字;縣府《協調陳述意見書》就第 5.9 條自承備查「僅係約定……事前使相對人知悉」,與 112/11/13 第 9 次履約會議「未經核定及備查不可逕為發行」之表述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互異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另案專函提報改善方案(方向:建立履約保障,12A)。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切分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:消保法改正義務照辦;「備查」解釋及票券發行契約依據循第 15 章處理,承認前者≠承認後者。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不可歸責事由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:線上票券由平台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信託代售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,或已具法定履約保障;改正涉第三方協力。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佐證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:平台信託契約/履約保障證明(索取中)、縣府二份文件對照影本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5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停車場期程有誤、應補充充電樁營運內容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宜蘭縣設置路外公共停車場申請須知、停車場法第 32 條;委外契約依契約第 5.8 條送備查且不逾 117/10/13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期程已修正;已補充 52 格(含無障礙 2 格)、充電樁 1 座、費率及免收費對象。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佐證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:修正後計畫書停車場章節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6-1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回饋分項 1(免費提供縣府舞台場地至少 5 次):補 114 年度辦理情形及佐證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本項性質為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額度保留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:本公司保留額度、縣府有需求時動用。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114 年度縣府未提出借用需求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額度未動用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非可歸責於本公司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;凡遇縣府需求均無償配合,114 年度實際配合 3 場(114/5/26 有機茶頒獎典禮、114/7/16 促參參訪、114/9/7 導覽員教育訓練)。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佐證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:場次清單、借用文件、活動照片(附件三)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6-2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回饋分項 3(策展及媒體影視參訪):補佐證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契約回饋承諾:每年至少一次策展、一次媒體影視參訪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114 年度與影視團隊合作拍攝園區主題影片 2 支(YouTube 公開),另 114/6/29 咖啡館媒體拍攝、114/7/5 泡腳池行銷拍攝。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佐證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:合作契約/備忘錄、現場照片、播放截圖(附件四)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6-3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回饋分項 5(國小學童營養午餐):補佐證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原約定:每年 30 名小學兒童營養午餐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改以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捐款公益團體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方式辦理,每年 30 萬元、受贈團體逐年輪換;114 年度捐贈向日葵關懷協會(收據 SF0002344,30 萬元全額,開立日 115/3/1、屬 114 年度回饋)。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併請縣府同意替代方式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以杜爭議。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佐證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:收據影本(附件五)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6-4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回饋分項 6(縣民活動):補 114 年度辦理情形及佐證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契約回饋承諾之睦鄰性質活動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114 年度以小型活動辦理計 5 場次(114/6/1 浴衣樂舞×2 含視障按摩據點、114/6/29 媒體拍攝、114/7/5 行銷拍攝、114/10/8 導覽解說);自 115 年度起建立逐場照片+簽到留存機制。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佐證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:活動紀錄表及照片 5 張(文 14)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6-5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回饋分項 7(縣民就業):補員工及勞保資料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契約回饋承諾:僱用縣民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名冊(含設籍註記)及勞保投保資料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業已隨計畫書交付縣府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(業主 115/8/30 確認)。如須補正格式,請縣府指明項目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7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契約第 5.8 條:委託第三人經營之委託契約應作為附件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契約第 5.8 條;委託契約存續不得逾契約期間(117/10/13)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現行全部委外項目之契約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業已交付縣府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;各契約存續期間均未逾本契約存續期間。日後新增委外項目(如充電樁)亦將送府備查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(整體)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審查意見對計畫書內容之各項要求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契約第 15.1 條(誠信磋商)、第 15.4 條(爭議期間繼續履約);促參制度公私協力本旨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本公司於爭議處理程序進行中仍逐項檢討修正、補充佐證,即誠信履約之體現。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不可歸責之整體背景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:105/9/1~111/10/30 計 6 年 2 個月營運中斷(接管處分經判決撤銷確定)、104 年度評估未辦理係接管所致(縣府 113/9/12 函自認)、復業未滿 4 年各機制重建中——請縣府審酌計畫書及後續績效評估時納入考量</w:t>
            </w:r>
          </w:p>
        </w:tc>
      </w:tr>
    </w:tbl>
    <w:p>
      <w:pPr>
        <w:spacing w:after="60"/>
      </w:pPr>
    </w:p>
    <w:p>
      <w:pPr>
        <w:pBdr>
          <w:bottom w:val="single" w:color="999999" w:sz="6"/>
        </w:pBdr>
        <w:spacing w:after="160" w:before="120"/>
      </w:pP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參、使用注意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本表「契約依據」欄之第 5.5.4、5.9、15.1、15.4 條,掃描本僅第 22~24 頁經完整判讀,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正式引用前以契約正本覆核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對外文書(文 18 及附件)僅使用「請釋明」「請惠予同意」「敬請審酌」句式;本表壹之二「論理上倒置」「相反解釋」等分析用語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僅供內部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,不得原文照搬入函。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佐證未取得者(平台信託契約、6-2 合作契約等),對外一律寫「另補送+時程」,不得寫「已補充」。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color w:val="2E4A7A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Microsoft JhengHei" w:cs="Microsoft JhengHei" w:eastAsia="Microsoft JhengHei" w:hAnsi="Microsoft JhengHei"/>
      <w:b/>
      <w:bCs/>
      <w:color w:val="444444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2026-09-02T14:54:54.256Z</dcterms:created>
  <dcterms:modified xsi:type="dcterms:W3CDTF">2026-09-02T14:54:54.256Z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