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 w:before="240"/>
      </w:pPr>
      <w:r>
        <w:rPr>
          <w:rFonts w:ascii="Microsoft JhengHei" w:cs="Microsoft JhengHei" w:eastAsia="Microsoft JhengHei" w:hAnsi="Microsoft JhengHei"/>
          <w:sz w:val="32"/>
          <w:szCs w:val="32"/>
        </w:rPr>
        <w:t xml:space="preserve">文 09 提案書兩版差異整理(9/2 會前確認)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壹、版本識別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5653"/>
        <w:gridCol w:w="2923"/>
      </w:tblGrid>
      <w:tr>
        <w:trPr>
          <w:tblHeader/>
        </w:trPr>
        <w:tc>
          <w:tcPr>
            <w:tcW w:type="dxa" w:w="117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</w:p>
        </w:tc>
        <w:tc>
          <w:tcPr>
            <w:tcW w:type="dxa" w:w="565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王董 8/31 修正版(今天給的)</w:t>
            </w:r>
          </w:p>
        </w:tc>
        <w:tc>
          <w:tcPr>
            <w:tcW w:type="dxa" w:w="2923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8/30 定稿版(前一封,0902 會議版)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外觀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Word 公文排版(標楷體)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md 轉出版(灰藍框)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提案日期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115/8/28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115/8/28</w:t>
            </w:r>
          </w:p>
        </w:tc>
      </w:tr>
      <w:tr>
        <w:tc>
          <w:tcPr>
            <w:tcW w:type="dxa" w:w="117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案數</w:t>
            </w:r>
          </w:p>
        </w:tc>
        <w:tc>
          <w:tcPr>
            <w:tcW w:type="dxa" w:w="565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 案+附一</w:t>
            </w:r>
          </w:p>
        </w:tc>
        <w:tc>
          <w:tcPr>
            <w:tcW w:type="dxa" w:w="2923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 案+附一+附二</w:t>
            </w:r>
          </w:p>
        </w:tc>
      </w:tr>
    </w:tbl>
    <w:p>
      <w:pPr>
        <w:spacing w:after="60"/>
      </w:pPr>
    </w:p>
    <w:p>
      <w:pPr>
        <w:spacing w:after="120" w:line="30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兩版之三個案由主文、契約條文引用、相關事實之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全部日期完全一致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(112/11/30 協調會、112/12/27 發結論、113/1/10 縣府請修正、113/2/5 不同意、113/2/16 縣府異議、113/9/12 府函、114/9/21 請求仲裁函、113/4/26・114/6/23・114/7/28 履管紀錄、114/9/25 簡報),已逐一核對無出入;「請求仲裁迄今已逾 11 個月」至 9/2 開會日仍正確(114/9/21 起算約 11 個半月)。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貳、差異七處</w:t>
      </w:r>
    </w:p>
    <w:tbl>
      <w:tblPr>
        <w:tblW w:type="dxa" w:w="974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49"/>
        <w:gridCol w:w="1949"/>
        <w:gridCol w:w="1949"/>
        <w:gridCol w:w="1949"/>
        <w:gridCol w:w="1950"/>
      </w:tblGrid>
      <w:tr>
        <w:trPr>
          <w:tblHeader/>
        </w:trPr>
        <w:tc>
          <w:tcPr>
            <w:tcW w:type="dxa" w:w="19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#</w:t>
            </w:r>
          </w:p>
        </w:tc>
        <w:tc>
          <w:tcPr>
            <w:tcW w:type="dxa" w:w="19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位置</w:t>
            </w:r>
          </w:p>
        </w:tc>
        <w:tc>
          <w:tcPr>
            <w:tcW w:type="dxa" w:w="19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王董 8/31 修正版</w:t>
            </w:r>
          </w:p>
        </w:tc>
        <w:tc>
          <w:tcPr>
            <w:tcW w:type="dxa" w:w="1949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8/30 定稿版</w:t>
            </w:r>
          </w:p>
        </w:tc>
        <w:tc>
          <w:tcPr>
            <w:tcW w:type="dxa" w:w="1950"/>
            <w:shd w:fill="E8ED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合併版處理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1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會議場次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第【31】次(已填)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第【31】次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採 31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,發文前與開會通知核對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2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案由三/建議決議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「於 </w:t>
            </w: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10 日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前以書面回復」(已填)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】空白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採王董版 10 日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3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案由一、二/建議決議期限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】空白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【　】空白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兩版均空白;建議比照填 10 日(待王董定)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4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案由三/請釋明 5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無成績括註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有「(102 年度 79 分乙等、103 年度 81 分甲等)」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保留括註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(數字經查證,與歷年等第紀錄一致)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5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案由三/請釋明 6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無此項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有:「請本府檢送 113 年度營運績效評定結果之正式函文。112 年度業以 113/10/14 府旅商字第 1130169503 號函函知(77.57 分、乙等),113 年度迄未收受」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保留</w:t>
            </w: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——113 年度等第是續約權計算唯一缺格,9/2 是當面要的機會;文 04、09 均已函請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6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附二(縣府排定議題+修繕權責提示)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無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有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b/>
                <w:bCs/>
                <w:sz w:val="20"/>
                <w:szCs w:val="20"/>
              </w:rPr>
              <w:t xml:space="preserve">保留但標註「內部準備、送府版不含」</w:t>
            </w:r>
          </w:p>
        </w:tc>
      </w:tr>
      <w:tr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7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版面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公文排版</w:t>
            </w:r>
          </w:p>
        </w:tc>
        <w:tc>
          <w:tcPr>
            <w:tcW w:type="dxa" w:w="1949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md 轉出</w:t>
            </w:r>
          </w:p>
        </w:tc>
        <w:tc>
          <w:tcPr>
            <w:tcW w:type="dxa" w:w="1950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20" w:before="20"/>
            </w:pPr>
            <w:r>
              <w:rPr>
                <w:rFonts w:ascii="Microsoft JhengHei" w:cs="Microsoft JhengHei" w:eastAsia="Microsoft JhengHei" w:hAnsi="Microsoft JhengHei"/>
                <w:sz w:val="20"/>
                <w:szCs w:val="20"/>
              </w:rPr>
              <w:t xml:space="preserve">內容以合併版 md 為準,送府排版可沿用王董版面</w:t>
            </w:r>
          </w:p>
        </w:tc>
      </w:tr>
    </w:tbl>
    <w:p>
      <w:pPr>
        <w:spacing w:after="60"/>
      </w:pPr>
    </w:p>
    <w:p>
      <w:pPr>
        <w:pBdr>
          <w:left w:val="single" w:color="8899AA" w:sz="18" w:space="8"/>
        </w:pBdr>
        <w:shd w:fill="F4F6F8" w:val="clear"/>
        <w:spacing w:after="100" w:line="300"/>
        <w:ind w:left="360"/>
      </w:pP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要請王董確認的一件事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:第 4、5、6 三處在王董版缺漏,研判是所據底稿為 8/30 前舊版所致,合併版已補回。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若王董是有意刪除(尤其請釋明 6),請明示,再從合併版拿掉。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參、9/2 會議內容總覽(兩版合併後)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一、本方提案三案(函送列入議程)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案由一|仲裁程序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 113/2/16 異議是否即第 15.2.1 條「甲方提出異議」→若是,本方提付仲裁「甲方不得拒絕」;114/9/21 請求移送仲裁已逾 11 個月,120 日/60 日期間早已屆滿(視為協調不成立);仲裁機構建議中華民國仲裁協會。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案由二|決議文送達證明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:縣府異議是否在「收到決議文後 20 日內」——決議文作成日、送達日縣府從未敘明,請查明並附送達證明;逾 20 日則「雙方均應依協調方案履行不得異議」。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案由三|評估次數分母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:縣府自認共 5 次評估→半數即 3 次甲等;104 年度因縣府接管未辦理,分母分子如何處理;「半數甲等」與「前 2 年連續甲等」為擇一;102 乙(79)、103 甲(81)是否列入;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並當面請縣府檢送 113 年度評定結果正式函文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(112 年度有 113/10/14 函之前例)。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二、縣府已排定議題(附二,內部準備)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1.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前次待辦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:會計師財會資料補正、已補正資料回復交通處、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充電樁業者合約回復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(與計畫書審查意見編號 5 委外契約議題相關,口徑一致:委外契約依 5.8 條送備查)。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2.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民眾陳情案件提醒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spacing w:after="60" w:line="280"/>
        <w:ind w:left="420" w:hanging="36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3. 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森林風呂木造區域腐爛修繕權責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:本方主張維管義務限「活動式設備、生財器具、日常營運耗材」,固定木造建築主體結構應由縣府修繕。⚠️ 縣府《協調陳述意見書》引 5.2.1 條主張本方全修,但同書引 5.4.2 條「(不含建築物或相關結構物)」自相出入——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會前調閱契約 5.2.1、5.4.2 及附件 4 原文核對後再發言,未核對前不引條號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。</w:t>
      </w:r>
    </w:p>
    <w:p>
      <w:pPr>
        <w:pStyle w:val="Heading3"/>
        <w:spacing w:after="100" w:before="180"/>
      </w:pPr>
      <w:r>
        <w:rPr>
          <w:rFonts w:ascii="Microsoft JhengHei" w:cs="Microsoft JhengHei" w:eastAsia="Microsoft JhengHei" w:hAnsi="Microsoft JhengHei"/>
          <w:sz w:val="24"/>
          <w:szCs w:val="24"/>
        </w:rPr>
        <w:t xml:space="preserve">三、程序提醒(附一)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各項請釋明事項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要求記明會議紀錄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(未記明就拿不到書面回復)。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本次只做程序確認,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不提損害金額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(俟會計師計算書,另循第 15 章)。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會中重申依 15.4 條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繼續履約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:配合 115 年度評估、依約提送報表、維持營運。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會後 7 日內索取會議紀錄核對(鐵律)。</w:t>
      </w:r>
    </w:p>
    <w:p>
      <w:pPr>
        <w:pStyle w:val="Heading2"/>
        <w:spacing w:after="100" w:before="240"/>
      </w:pPr>
      <w:r>
        <w:rPr>
          <w:rFonts w:ascii="Microsoft JhengHei" w:cs="Microsoft JhengHei" w:eastAsia="Microsoft JhengHei" w:hAnsi="Microsoft JhengHei"/>
          <w:sz w:val="28"/>
          <w:szCs w:val="28"/>
        </w:rPr>
        <w:t xml:space="preserve">肆、發文前檢查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案由一、二建議決議期限填入(建議 10 日)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第 31 次場次與開會通知核對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送府版</w:t>
      </w:r>
      <w:r>
        <w:rPr>
          <w:rFonts w:ascii="Microsoft JhengHei" w:cs="Microsoft JhengHei" w:eastAsia="Microsoft JhengHei" w:hAnsi="Microsoft JhengHei"/>
          <w:b/>
          <w:bCs/>
          <w:sz w:val="21"/>
          <w:szCs w:val="21"/>
        </w:rPr>
        <w:t xml:space="preserve">不含附二</w:t>
      </w: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、刪除文 09 之【製作說明】頁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9/1 前函送工商旅遊處,親送取戳,回填收發文登記簿</w:t>
      </w:r>
    </w:p>
    <w:p>
      <w:pPr>
        <w:pStyle w:val="ListParagraph"/>
        <w:numPr>
          <w:ilvl w:val="0"/>
          <w:numId w:val="2"/>
        </w:numPr>
        <w:spacing w:after="60" w:line="280"/>
      </w:pPr>
      <w:r>
        <w:rPr>
          <w:rFonts w:ascii="Microsoft JhengHei" w:cs="Microsoft JhengHei" w:eastAsia="Microsoft JhengHei" w:hAnsi="Microsoft JhengHei"/>
          <w:sz w:val="21"/>
          <w:szCs w:val="21"/>
        </w:rPr>
        <w:t xml:space="preserve">王董確認差異第 4、5、6 處之保留(尤其請釋明 6)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1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JhengHei" w:cs="Microsoft JhengHei" w:eastAsia="Microsoft JhengHei" w:hAnsi="Microsoft JhengHe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rFonts w:ascii="Microsoft JhengHei" w:cs="Microsoft JhengHei" w:eastAsia="Microsoft JhengHei" w:hAnsi="Microsoft JhengHei"/>
      <w:b/>
      <w:bCs/>
      <w:color w:val="1A1A2E"/>
      <w:sz w:val="32"/>
      <w:szCs w:val="32"/>
    </w:rPr>
  </w:style>
  <w:style w:type="paragraph" w:styleId="Heading2">
    <w:name w:val="Heading 2"/>
    <w:basedOn w:val="Normal"/>
    <w:next w:val="Normal"/>
    <w:qFormat/>
    <w:rPr>
      <w:rFonts w:ascii="Microsoft JhengHei" w:cs="Microsoft JhengHei" w:eastAsia="Microsoft JhengHei" w:hAnsi="Microsoft JhengHei"/>
      <w:b/>
      <w:bCs/>
      <w:color w:val="1F3864"/>
      <w:sz w:val="28"/>
      <w:szCs w:val="28"/>
    </w:rPr>
  </w:style>
  <w:style w:type="paragraph" w:styleId="Heading3">
    <w:name w:val="Heading 3"/>
    <w:basedOn w:val="Normal"/>
    <w:next w:val="Normal"/>
    <w:qFormat/>
    <w:rPr>
      <w:rFonts w:ascii="Microsoft JhengHei" w:cs="Microsoft JhengHei" w:eastAsia="Microsoft JhengHei" w:hAnsi="Microsoft JhengHei"/>
      <w:b/>
      <w:bCs/>
      <w:color w:val="2E4A7A"/>
      <w:sz w:val="24"/>
      <w:szCs w:val="24"/>
    </w:rPr>
  </w:style>
  <w:style w:type="paragraph" w:styleId="Heading4">
    <w:name w:val="Heading 4"/>
    <w:basedOn w:val="Normal"/>
    <w:next w:val="Normal"/>
    <w:qFormat/>
    <w:rPr>
      <w:rFonts w:ascii="Microsoft JhengHei" w:cs="Microsoft JhengHei" w:eastAsia="Microsoft JhengHei" w:hAnsi="Microsoft JhengHei"/>
      <w:b/>
      <w:bCs/>
      <w:color w:val="444444"/>
      <w:sz w:val="22"/>
      <w:szCs w:val="22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2026-08-31T03:07:54.908Z</dcterms:created>
  <dcterms:modified xsi:type="dcterms:W3CDTF">2026-08-31T03:07:54.908Z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