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礁溪溫泉公園 OT 案|爭點對照表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製表日期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:中華民國 115 年 8 月 28 日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製表依據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:投資契約掃描本、宜蘭縣政府歷次函文、歷次履約管理會議紀錄、雙方協調陳述意見書</w:t>
      </w: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使用說明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本表就各爭點列示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契約依據、雙方主張及其各自依據、法律評估、證據狀態、待釐清事項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,雙方立場對等呈現。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「法律評估」欄為爭點分析,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非法律意見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,正式程序前應由委任律師覆核。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「證據狀態」欄標示 ⚠️ 者,係指現有資料僅有主張而無文件支持。此類事項於協調、評估及仲裁程序中不宜作為既定事實陳述。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契約條文引用以掃描本第 22~24 頁完整判讀者為準,其餘條文係自雙方函文及會議紀錄轉引,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正式引用前應以契約正本覆核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壹、關鍵契約條文速查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條號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條文重點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來源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5.5.4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乙方應於營運開始前及每年年底前,將次一年度營運計畫送請甲方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備查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112/11/13 第 9 次履約會議轉引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5.9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添置供湯屋設備,乙方於辦理前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應先報請甲方備查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並符合相關法令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縣府《協調陳述意見書》轉引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11.1.2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乙方營運開始後每年 6 至 9 月間,甲方邀請專家學者組成評估委員會,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於乙方之營運期間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每年舉辦 1 次評估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縣府 113/9/12 函轉引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11.1.3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 年度營運未滿 6 個月者,併入次 1 年度辦理評鑑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11.2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評估分數平均達 80 分以上為甲等;70~79 分為乙等;未達 70 分為丙等且視為缺失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114/6/23 第 20 次履管會議轉引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11.3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①甲等年度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達到半數****或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申請前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2 年度連續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甲等 → 得於屆滿前 18 個月申請優先定約,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逾期視為放棄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;②繼續定約期限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以每次 10 年為原則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;③甲方應於接獲申請後 3 個月內評估,最遲於屆滿前 6 個月簽新約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114/7/28 第 21 次履管會議、114/9/25 簡報轉引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14.4-5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不可抗力及除外情事之處理措施包括「展延契約期間」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契約掃描本 p.22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15.1.1-2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雙方應竭盡所能,本於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誠信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隨時聯繫進行磋商,以解決契約解釋、履行、效力所生歧見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契約掃描本 p.22-23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15.1.2-2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爭議於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提付仲裁、提起訴訟前應先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提交協調委員會處理,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但一方請求權有罹於時效之虞者,不在此限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契約掃描本 p.23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15.1.2-3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不同意協調方案者,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應於收到決議文後 20 日內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提出書面異議,則協調方案不生效力;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否則雙方均應依協調方案履行不得異議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契約掃描本 p.23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15.1.2-4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請求召集協調委員會後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120 日內未達成決議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,或請求後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60 日未能召開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視為協調不成立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契約掃描本 p.23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15.2.1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除甲方就協調委員會之決議提出異議或協調不成立時,乙方提付仲裁時甲方不得拒絕外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,雙方以仲裁解決爭議應以書面同意為之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契約掃描本 p.23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15.2.2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提付仲裁以仲裁法程序解決,由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雙方選定之仲裁機構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辦理,以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甲方所在地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為仲裁地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契約掃描本 p.23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15.2.3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仲裁判斷為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最終裁決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,雙方同意恪遵;但經一方提起撤銷仲裁判斷之訴勝訴確定者不在此限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契約掃描本 p.23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15.3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訴訟以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臺灣宜蘭地方法院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為第一審管轄法院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契約掃描本 p.24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15.4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除非契約已全部確定終止,否則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爭議處理期間雙方均應繼續執行本契約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契約掃描本 p.24</w:t>
            </w:r>
          </w:p>
        </w:tc>
      </w:tr>
    </w:tbl>
    <w:p>
      <w:pPr>
        <w:spacing w:after="60"/>
      </w:pP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契約條號瑕疵(宜於引用時一併敘明)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:掃描本第 23 頁「15.2 仲裁」與第 24 頁「15.2 訴訟」條號重複;第 24 頁 15.2.1(訴訟)稱「如無法透過本契約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第 19.1 條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之規定解決時」,而本契約爭議處理章為第 15 章,該交互指引疑為誤植。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貳、爭點對照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爭點 1|本公司是否已具備優先定約資格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契約依據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11.3 條第 1 項:甲等年度達到半數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或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申請前 2 年度連續甲等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符合資格後「僅係有權向本府申請優先締約(申請權),是否優先締約,本府有同意或不同意之權利(同意權),本府對輕車公司無須優先續約之義務」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條文文義為「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得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……向甲方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申請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優先定約」(114/7/28 第 21 次履管會議)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資格既已成就,縣府應依契約本旨保障既得權益,不得單方否決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11.3 條之規範目的、行政程序法第 8 條(誠信及信賴保護)、第 9 條、第 10 條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法律評估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縣府就「申請權/同意權」之區分,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於條文文義上有依據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,難以逕行推翻。輕車較可行之論點:同意權之行使仍受誠信原則及行政法一般原則拘束,並應敘明具體理由;其行使是否適法,屬第 15 章之履約爭議,得循爭議處理程序審查。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證據狀態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115/8/29 已查證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:102 年度 79 分乙等、103 年度 81 分甲等、112 年度 77.57 分乙等(縣府 113/10/14 府旅商字第 1130169503 號函)、104 年度未辦理;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113 年度結果卷內查無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。→ 已確定甲等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 次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、乙等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2 次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「已達半數甲等」目前不成立,且若 113 年度為乙等則確定不成立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待釐清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①各年度評定結果及函文字號;②縣府行使同意權之審查基準與程序;③101~105 年度評定結果是否列入計算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爭點 2|評估次數之分母與「達到半數」之數值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契約依據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11.3 條「達到半數」;第 11.1.2 條「於乙方之營運期間每年舉辦 1 次」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原契約應依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7 次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評估結果申請;因接管及賸餘天數處理,現共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5 次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;相差 2 次,其中 1 次為 104 年度因本府接管未辦理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113/9/12 府旅商字第 1130153808 號函(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縣府自行認定並自認 104 年度未辦理係因接管所致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縣府既認定分母為 5,則「達到半數」所需甲等年度數為 3 次;104 年度之缺漏係可歸責於縣府,不應歸由本公司承擔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法律評估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本項係縣府自身函文之算術結果,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事實基礎明確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。分母由 7 降為 5,對應之甲等門檻由 4 次降為 3 次。此為對輕車有利之客觀結果,宜函請縣府書面確認以杜爭議。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證據狀態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依據充分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——全部出自縣府函文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待釐清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①分母 5 對應之甲等次數是否為 3;②104 年度缺漏於分子分母之處理;③115 年度評估為 5 次中之第幾次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爭點 3|協調委員會決議之效力(異議是否逾期)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契約依據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15.1.2 條第 3 項: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收到決議文後 20 日內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提出異議,否則協調方案生效且雙方不得異議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「本府 113/2/16 已向本案協調委員會書面提出異議,爰協調方案不生效力」;並主張原會議結論係輕車 112/12/27 之「自為結論」、不符實際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至少 5 份文件一致記載(113/4/26、113/9/12、114/6/23、114/7/28、114/9/25)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會議日 112/11/30 至異議日 113/2/16 相距約 78 日,應查明決議文之作成日與送達日;如逾 20 日,協調方案對雙方發生拘束力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法律評估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20 日期間之起算點為「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收到決議文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」,非會議召開日。關鍵事實為決議文之作成與送達日期,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現有資料均未記載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。另須留意:若協調委員會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未作成正式決議文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(縣府主張輕車係「自為結論」),則 20 日期間可能尚未起算,縣府之異議即無逾期問題。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本項結論繫於決議文是否存在及其日期,屬事實查明事項,雙方均無從先行斷言。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證據狀態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異議日期為縣府自認;⚠️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決議文之存否、作成日及送達日均不詳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待釐清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①決議文是否作成、於何日作成;②於何日送達縣府(請檢附送達證明);③如未作成正式決議文,異議之標的及 20 日期間之起算基準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爭點 4|本公司得否於未經縣府書面同意下提付仲裁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契約依據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15.2.1 條:甲方就協調委員會之決議提出異議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或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協調不成立時,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乙方提付仲裁時甲方不得拒絕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歷次僅表示「請循本契約第 15 章爭議處理規定辦理」「相關爭議事項應先行協商,協商未果者,再依約提請仲裁」(114/6/23 工商科),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迄未就第 15.2.1 條之要件表示意見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兩項要件均已具備:①縣府 113/2/16 已就協調委員會之決議提出異議;②本公司 114/9/21 函請求移送仲裁後已逾 11 個月,逾第 15.1.2 條第 4 項所定 120 日/60 日期間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契約第 15.2.1 條、第 15.1.2 條第 4 項;縣府關於異議之自認;輕車 114/9/21 北輕字第 1140921 號函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法律評估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縣府提出異議之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事實本身雙方並無爭執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,所餘為法律適用問題。就條文文義,第 15.2.1 條並未就異議之合法性設有限制,僅以「提出異議」為要件。惟縣府仍可能主張:如異議係針對「非正式決議」而發,則不生第 15.2.1 條之效果。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本項為本案程序上最具實益之爭點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,因其結論將直接決定爭議能否進入具終局效力之仲裁程序(第 15.2.3 條)。宜以正式函文請縣府就此表示明確意見。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證據狀態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依據充分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——契約原文、縣府自認、輕車函文均齊備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待釐清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①縣府就第 15.2.1 條適用之意見;②如認不適用,其契約依據;③仲裁機構之選定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爭點 5|「歸還賸餘契約天數 2,175 日」與 10 年期間之切分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契約依據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11.3 條第 2 項「以每次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10 年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為原則」;第 14.4 條第 5 款「展延契約期間」(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列於不可抗力及除外情事章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歸還賸餘契約天數 2,175 日,契約期間至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117/10/13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;應於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116/4/13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前申請優先定約;全案共 5 次評估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①「歸還賸餘天數」於契約中無明文依據——強制接管非不可抗力或除外情事,不適用第 14 章展延機制,亦未見雙方合意文件;②契約無條款授權將 10 年期間分段並分別評估;③切分致招商困難、投資受抑、評估次數減少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法律評估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「以每次 10 年為原則」規範對象為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繼續定約(續約)之期限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,是否當然拘束第一期契約因接管中斷後之期間計算,尚待解釋。「歸還賸餘天數」之作法確實於契約中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未見明文授權依據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,此為輕車較有力之切入點:與其爭執切分方式,不如先請縣府指明該作法之契約依據。另須留意:縣府可能主張該作法對輕車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有利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(延長營運期間至 117 年),並主張輕車自 111/10/31 起受領該利益。輕車就此應預先說明復業係履行第 15.4 條義務、非承認該計算方式。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證據狀態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契約條文明確;⚠️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待補:招商未成案之具體案例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(廠商、洽談期間、書面理由)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待釐清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①「歸還賸餘天數」之契約依據或雙方合意文件;②「每次 10 年」得否以數個較短區間之天數加總滿足;③有無授權分段評估之條款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爭點 6|111/10/31 復業是否構成默示同意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契約依據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15.4 條:爭議處理期間雙方均應繼續執行本契約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「乙方自 111/10/31 重新接管營運案地,並履行賸餘契約天數 2,175 日(至 117/10/13),爰乙方應依 11.3 條於契約屆滿前 18 個月向本府申請優先定約」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復業係履行第 15.4 條之契約義務並維持公共服務不中斷,非默示同意縣府就契約期間之片面認定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法律評估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輕車持續異議之紀錄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確實存在且完整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(見 114/6/23、114/7/28、114/9/25 等會議),足以排除「默示同意」之認定。惟此屬防禦性主張,宜於每次會議及函文中重申,以維持異議之連續性。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證據狀態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歷次會議紀錄及函文可資佐證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待釐清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無(宜持續留存異議紀錄)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爭點 7|第 15.4 條但書「本契約已全部確定終止」之解釋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契約依據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15.4 條但書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若乙方申請優先締約未獲同意,契約因期限屆至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全部確定終止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,符合但書要件,故無第 15.4 條適用(114/7/28 第 21 次履管會議)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該解釋使一方得以單方之「不同意續約」直接排除第 15.4 條適用,將使該條規範目的落空;且續約與否本身即為爭議標的,於該爭議依第 15 章處理完畢前遽認契約「已全部確定終止」,邏輯上有未洽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法律評估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縣府就本項之主張於文義上具相當論據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,係其立場中較強之一環。輕車之反論屬目的性解釋,需由仲裁庭或法院判斷。就爭議處理策略而言,本項不宜作為優先攻防標的;較可行之途徑為循爭點 4(第 15.2.1 條)進入仲裁程序,由仲裁庭就本項解釋作成終局判斷。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證據狀態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純法律解釋爭點,無事實證據可資補強。建議請律師出具意見書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待釐清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「契約已全部確定終止」之認定時點與程序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爭點 8|「備查」之法律性質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契約依據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5.5.4 條「送請甲方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備查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」;第 5.9 條「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應先報請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甲方備查」;宜蘭縣風景遊憩區經營管理自治條例第 16 條(核備標的為「票券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使用費等收費標準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縣府主張(票券)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「販售票券(含贈票)等計畫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未經本府核定及備查前,自不可逕為發行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」(112/11/13 第 9 次履約會議決議);「112 年度營運計畫書未經本府備查前,請輕車公司停止販售預售票」(112/2/16 第 3 次履約會議)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縣府主張(湯屋)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就第 5.9 條,主張「此條款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僅係約定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……需事前使相對人知悉,並且需合法添置爾」(《協調陳述意見書》)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同一契約之同一「備查」用語,縣府於二議題採相反解釋;第 5.5.4 條原文並無「核定」二字;自治條例第 16 條之核備標的為「收費標準」,非「得否發行票券」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法律評估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二份文件之表述確有差異,且均為縣府所製作,可資對照。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惟縣府可能主張二者標的不同(設備添置 vs 年度營運計畫)。就契約文義,第 5.5.4 條無「核定」二字為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明確之文本事實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;自治條例第 16 條之核備標的限於「收費標準」亦為文義所明。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注意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:原稿「縣府擅自加上『應先』二字」之主張與契約不符,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不應提出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證據狀態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依據充分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——二份縣府文件並列即可對照;宜將《協調陳述意見書》相關頁面影本列為附件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待釐清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①第 5.5.4 條「備查」是否含准駁權限;②「核定」二字之契約依據;③自治條例第 16 條之核備標的範圍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爭點 9|以行政裁罰及強制執行介入契約爭議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契約依據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15.4 條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依消保法第 56-1 條裁處 15 萬元;移送法務部行政執行署宜蘭分署強制執行(宜執和 115 罰 00225189 字第 1150220203A 號),扣押存款債權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①不爭執消保法上之合規義務;②「票券定型化契約是否合於消保法」與「依契約得否發行票券」屬不同層次;③爭議期間扣押帳戶,影響第 15.4 條繼續履約義務之履行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法律評估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縣府依消保法行使裁罰權,係本於法定職權,與契約爭議處理程序並行不悖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;「不得以裁罰替代契約爭議處理」於法律上難以直接排除機關之裁罰權限。較可行:①區分二層次,就合規性積極改善以消弭裁罰事由(→文 12A/12B);②契約解釋循第 15 章;③裁罰處分本身之合法性循訴願及行政訴訟(惟前四次處分均已確定,無從再爭)。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證據狀態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✅ 執行命令字號、繳納證明齊備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待釐清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①裁罰處分之行政救濟進行狀態;②定型化契約應記載事項之改善情形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爭點 10|強制接管期間之損害賠償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契約依據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契約第 15 章;民法債務不履行相關規定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「本府並不認同,惟將於貴公司……檢具相關佐證文件及具體損失說明時,雙方依約協商、協調,或逕提訴訟辦理」(113/9/30 府旅商字第 1130158210 號函);前案「仲裁判斷書係認定強制接管處分之效力,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未認定本府是否需負賠償責任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賸餘天數順延未回復三項損害:①105/9/1~111/10/30 計 6 年 2 個月之營業利益;②續約條件之累積基礎;③10 年攤提模型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縣府自認接管期間及 104 年度評估未辦理之事實;102 年度與 112 年度營業收入數據(1,468 萬 4,328 元/2,154 萬 4,140 元,均由縣府函文引述)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法律評估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縣府要求檢具佐證文件,程序上正當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。宜請縣府具體指明所需文件項目、格式及期限。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須修正之既有主張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:「仲裁判斷 2 億 4,427 萬 8,000 元應予賠償」為誤解——該金額係仲裁標的價額(計算仲裁費用用)。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此項如再行主張,將影響整體陳述之可信度。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證據狀態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⚠️⚠️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待補(重大)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:會計師營業損失計算書、各項單據及合約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待釐清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①縣府所要求之文件項目、格式及期限;②接管期間營業利益之計算基礎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爭點 11|點交範圍未完全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111/10/30 點交完成,當時爭議事項業經場勘並列入履管會議追蹤,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112/6/5 履管會議中除溫泉水井維修議題外全數解列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應點交用地範圍(含烏石港、轉運站等)迄未完全點交,致營業規模減損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法律評估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縣府握有 112/6/5「全數解列」之會議紀錄,本項對縣府較為有利。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輕車如欲主張,須先提出具體之未點交範圍清單(地號、面積、原約定點交日)及歷次請求點交之函文字號。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在該清單完成前,本項不宜於會議或書面中大力主張。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證據狀態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⚠️⚠️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待補(重大)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:未點交範圍清單、請求點交函文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待釐清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①契約所定應點交範圍之原始文件;②未點交部分之具體項目;③與 112/6/5 解列事項之關係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爭點 12|評估委員之選任與評分公正性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欄位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契約依據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11.1.2 條;促參案作業指引第 6 點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委員選任按規定辦理,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無須經貴公司之同意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;如有異議得依第 15 章提出(113/9/18 府旅商字第 1130155949 號函)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輕車主張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不爭執選任權限;請求①會前公布評分項目、配分及基準;②對評分顯著偏離者建立說明或複核機制(曾有委員評 67 分,與其他委員差距達 13 分)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法律評估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縣府就選任權限之主張有明確規範依據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,輕車難以爭執。輕車之請求聚焦於「程序透明」,屬合理且與選任權限無涉之訴求,較有可能獲致回應。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證據狀態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⚠️ 待補:歷次評估各委員評分明細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待釐清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①評分項目、配分及基準是否公布;②評分顯著偏離之處理機制</w:t>
            </w:r>
          </w:p>
        </w:tc>
      </w:tr>
    </w:tbl>
    <w:p>
      <w:pPr>
        <w:spacing w:after="60"/>
      </w:pP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參、證據補強優先順序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2437"/>
        <w:gridCol w:w="2437"/>
        <w:gridCol w:w="2435"/>
      </w:tblGrid>
      <w:tr>
        <w:trPr>
          <w:tblHeader/>
        </w:trPr>
        <w:tc>
          <w:tcPr>
            <w:tcW w:type="dxa" w:w="243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順序</w:t>
            </w:r>
          </w:p>
        </w:tc>
        <w:tc>
          <w:tcPr>
            <w:tcW w:type="dxa" w:w="243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應補資料</w:t>
            </w:r>
          </w:p>
        </w:tc>
        <w:tc>
          <w:tcPr>
            <w:tcW w:type="dxa" w:w="243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所涉爭點</w:t>
            </w:r>
          </w:p>
        </w:tc>
        <w:tc>
          <w:tcPr>
            <w:tcW w:type="dxa" w:w="243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急迫性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歷年營運績效評定結果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(僅缺 113 年度)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爭點 1、2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協調委員會決議文及送達證明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爭點 3、4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高(可函請縣府提供)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未點交範圍清單及歷次請求點交函文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爭點 11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會計師營業損失計算書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爭點 10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招商未成案之具體案例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爭點 5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縣府自營期間虧損之客觀佐證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 06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縣議會相關調查程序之正式文件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 06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歷次評估各委員評分明細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爭點 12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前案仲裁判斷書之可讀文字版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爭點 10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契約第 1~14 章完整文字</w:t>
            </w:r>
          </w:p>
        </w:tc>
        <w:tc>
          <w:tcPr>
            <w:tcW w:type="dxa" w:w="24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全部</w:t>
            </w:r>
          </w:p>
        </w:tc>
        <w:tc>
          <w:tcPr>
            <w:tcW w:type="dxa" w:w="24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60"/>
      </w:pP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肆、綜合評估摘要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一、事實基礎明確、適合優先釐清之爭點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爭點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爭點 4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(第 15.2.1 條之適用)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契約條文明確,縣府提出異議之事實雙方無爭執;結論決定能否進入終局程序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爭點 2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(評估次數分母)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全部出自縣府自身函文,屬算術問題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爭點 3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(決議文日期)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純事實查明事項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爭點 8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(「備查」之性質)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二份縣府文件可資對照;第 5.5.4 條無「核定」二字為文本事實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二、縣府主張較具依據之爭點(避免正面硬碰)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爭點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爭點 7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(第 15.4 條但書)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但書文義有據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爭點 1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(申請權/同意權)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條文用語為「得……申請」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爭點 12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(委員選任)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有明確規範依據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爭點 11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(點交範圍)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縣府握有「全數解列」紀錄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爭點 9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(裁罰權限)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消保法裁罰係法定職權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三、現階段不宜作為事實陳述之事項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7602"/>
      </w:tblGrid>
      <w:tr>
        <w:trPr>
          <w:tblHeader/>
        </w:trPr>
        <w:tc>
          <w:tcPr>
            <w:tcW w:type="dxa" w:w="214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事項</w:t>
            </w:r>
          </w:p>
        </w:tc>
        <w:tc>
          <w:tcPr>
            <w:tcW w:type="dxa" w:w="760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「歷年績效已達半數甲等」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已查證:1 甲(103)、2 乙(102、112)、1 未辦(104)、1 待查(113)、1 待評(114)。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此語不得使用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「前案仲裁判斷 2 億 4,427 萬 8,000 元應予賠償」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該金額為仲裁標的價額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「應點交範圍迄未完全點交」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無清單;縣府握有「全數解列」紀錄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「縣府自營期間年虧 700 萬元」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無客觀財報佐證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「縣府擅自於契約外加上『應先』二字」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與契約原文不符</w:t>
            </w:r>
          </w:p>
        </w:tc>
      </w:tr>
      <w:tr>
        <w:tc>
          <w:tcPr>
            <w:tcW w:type="dxa" w:w="21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對特定公務員動機之推論</w:t>
            </w:r>
          </w:p>
        </w:tc>
        <w:tc>
          <w:tcPr>
            <w:tcW w:type="dxa" w:w="7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無從舉證,涉名譽權爭議</w:t>
            </w:r>
          </w:p>
        </w:tc>
      </w:tr>
    </w:tbl>
    <w:p>
      <w:pPr>
        <w:spacing w:after="6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四、程序時限提醒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期限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事項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依據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116 年 4 月 13 日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優先定約申請期限,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逾期視為放棄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11.3 條第 1 項;縣府 113/9/12 函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117 年 10 月 13 日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縣府認定之契約期間屆滿日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屆滿前 6 個月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雙方最遲應簽訂新約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 11.3 條第 3 項</w:t>
            </w:r>
          </w:p>
        </w:tc>
      </w:tr>
    </w:tbl>
    <w:p>
      <w:pPr>
        <w:spacing w:after="60"/>
      </w:pP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優先定約申請期限為失權期間,與契約期間之爭議分別處理。縱不同意縣府之期間認定,仍宜於期限前提出保全性申請並敘明保留爭議之意旨。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2026-08-30T13:31:13.600Z</dcterms:created>
  <dcterms:modified xsi:type="dcterms:W3CDTF">2026-08-30T13:31:13.615Z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