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9 月 2 日履約管理會議|王董發言重點(一頁版)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會議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:115 年 9 月份履約管理會議(9/2)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目標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:三個案由全部「記明會議紀錄 + 限期書面回復」,不求當場答案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原則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:只問程序、只引縣府自己的文件,不談金額、不做指控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開場一句話(定調)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「本公司依契約第 15.4 條繼續履約:園區照常營運、配合 115 年度績效評估、報表照送。今天三個提案都是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程序確認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,請列入紀錄並請縣府限期書面回復。」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案由一:仲裁條款(第 15.2.1 條)適用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只講一個事實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:縣府自己在至少 5 份文件說過「本府 113/2/16 已向協調委員會提出異議」。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只問一個問題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:依第 15.2.1 條,甲方就決議提出異議時,「乙方提付仲裁時甲方不得拒絕」——請縣府確認是否不拒絕?如認為可拒絕,請指明契約依據。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補充:本公司 114/9/21 已函請移送仲裁,至今逾 11 個月(契約定 120 日未決議即「視為協調不成立」)。建議仲裁機構:中華民國仲裁協會。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案由二:決議文的日期(20 日異議期間)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會議是 112/11/30 開的,縣府異議是 113/2/16,中間隔了約 78 天。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只要求一件事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:請縣府提供決議文的「作成日」與「送達日」+ 送達證明。(契約第 15.1.2 條第 3 項:收到決議文後 20 日內異議,逾期則雙方應依協調方案履行。)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案由三:評估次數分母(續約門檻)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縣府 113/9/12 函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自己認定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:評估共 5 次(原本 7 次,因接管少 2 次,104 年度是縣府接管才沒辦)。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請縣府確認三件事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:①5 次的半數 = 甲等 3 次,對嗎?②「達半數」與「前 2 年連續甲等」是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擇一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即可,對嗎?③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請發 113 年度評定結果的正式函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(112 年度有函、113 年度到現在沒有)。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縣府排定議題:森林風呂木造區腐爛修繕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我方立場:腐爛處是「固定不可移動之建築主體結構」,非活動設備,依約應由縣府修繕。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引縣府自己的《協調陳述意見書》引用的第 5.4.2 條:「甲方交付之委託營運標的物(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不含建築物或相關結構物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)……乙方應負責修復」——建築結構本來就排除在乙方修復義務外。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⚠️ 發言前提:須先以契約正本核對第 5.2.1、5.4.2 條及附件 4 原文(意見書內兩段有出入)。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六句話,絕對不能說(已查證,說了會被當場反駁)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✗「歷年績效已達半數甲等」(已確定:僅 103 年 1 次甲等;102、112 為乙等)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✗「前案仲裁判斷 2 億 4 千萬應賠償」(那是仲裁標的價額,非賠償認定)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✗「點交範圍迄未完全點交」(縣府握有 112/6/5「全數解列」紀錄)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✗「縣府自營期間年虧 700 萬」(無客觀財報佐證)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✗「縣府擅自加上『應先』二字」(契約原文即為「應先報請」)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 任何對承辦人員動機的推論(挾怨、圖利等)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每案結尾都要說的一句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「請將本案由及請釋明事項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記明於會議紀錄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,並請縣府於 ___ 日內書面回復。」
(會後 7 日內索取會議紀錄核對。)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重要日期(放在手邊)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日期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事項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9/5 前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函 A(向評估委員揭露不利因素)須親送取戳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9/16 前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票券改善方案 12A 或 12B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必須擇一定案發文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(裁罰止血,已罰 33 萬)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9/15 或 9/16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年度營運績效評估會(日期待縣府正式函文確認)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116/4/13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優先定約申請期限,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逾期視為放棄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(建議提早單獨發保全性申請函)</w:t>
            </w:r>
          </w:p>
        </w:tc>
      </w:tr>
    </w:tbl>
    <w:p>
      <w:pPr>
        <w:spacing w:after="6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2026-08-30T03:32:28.911Z</dcterms:created>
  <dcterms:modified xsi:type="dcterms:W3CDTF">2026-08-30T03:32:28.911Z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