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120" w:before="0"/>
      </w:pPr>
    </w:p>
    <w:p>
      <w:pPr>
        <w:spacing w:after="120" w:before="0"/>
      </w:pPr>
    </w:p>
    <w:p>
      <w:pPr>
        <w:spacing w:after="80" w:before="0"/>
        <w:jc w:val="center"/>
      </w:pPr>
      <w:r>
        <w:rPr>
          <w:rFonts w:ascii="Arial" w:cs="Arial" w:eastAsia="Arial" w:hAnsi="Arial"/>
          <w:b/>
          <w:bCs/>
          <w:color w:val="1F5FA6"/>
          <w:sz w:val="52"/>
          <w:szCs w:val="52"/>
        </w:rPr>
        <w:t xml:space="preserve">MIXING SCALE-UP TOOLKIT</w:t>
      </w:r>
    </w:p>
    <w:p>
      <w:pPr>
        <w:spacing w:after="80" w:before="0"/>
        <w:jc w:val="center"/>
      </w:pPr>
      <w:r>
        <w:rPr>
          <w:rFonts w:ascii="Arial" w:cs="Arial" w:eastAsia="Arial" w:hAnsi="Arial"/>
          <w:color w:val="555555"/>
          <w:sz w:val="28"/>
          <w:szCs w:val="28"/>
        </w:rPr>
        <w:t xml:space="preserve">Technical Reference: Equations, Principles, Assumptions &amp; Constraints</w:t>
      </w:r>
    </w:p>
    <w:p>
      <w:pPr>
        <w:pBdr>
          <w:bottom w:val="single" w:color="1F5FA6" w:sz="6" w:space="4"/>
        </w:pBdr>
        <w:spacing w:after="40" w:before="0"/>
        <w:jc w:val="center"/>
      </w:pPr>
      <w:r>
        <w:rPr>
          <w:rFonts w:ascii="Arial" w:cs="Arial" w:eastAsia="Arial" w:hAnsi="Arial"/>
          <w:sz w:val="22"/>
          <w:szCs w:val="22"/>
        </w:rPr>
        <w:t xml:space="preserve"/>
      </w:r>
    </w:p>
    <w:p>
      <w:pPr>
        <w:spacing w:after="120" w:before="0"/>
      </w:pPr>
    </w:p>
    <w:p>
      <w:pPr>
        <w:spacing w:after="120" w:before="0"/>
      </w:pPr>
    </w:p>
    <w:p>
      <w:pPr>
        <w:jc w:val="center"/>
      </w:pPr>
      <w:r>
        <w:rPr>
          <w:rFonts w:ascii="Arial" w:cs="Arial" w:eastAsia="Arial" w:hAnsi="Arial"/>
          <w:color w:val="777777"/>
          <w:sz w:val="22"/>
          <w:szCs w:val="22"/>
        </w:rPr>
        <w:t xml:space="preserve">Version 2.0</w:t>
      </w:r>
    </w:p>
    <w:p>
      <w:pPr>
        <w:spacing w:after="120" w:before="0"/>
      </w:pPr>
    </w:p>
    <w:p>
      <w:pPr>
        <w:spacing w:after="120" w:before="0"/>
      </w:pPr>
    </w:p>
    <w:p>
      <w:pPr>
        <w:spacing w:after="120" w:before="0"/>
      </w:pPr>
    </w:p>
    <w:p>
      <w:pPr>
        <w:spacing w:after="120" w:before="0"/>
      </w:pPr>
    </w:p>
    <w:p>
      <w:pPr>
        <w:spacing w:after="120" w:before="0"/>
      </w:pPr>
    </w:p>
    <w:p>
      <w:pPr>
        <w:spacing w:after="120" w:before="0"/>
      </w:pPr>
    </w:p>
    <w:p>
      <w:pPr>
        <w:spacing w:after="120" w:before="0"/>
      </w:pP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 Introduction and Scope</w:t>
      </w:r>
    </w:p>
    <w:p>
      <w:pPr>
        <w:spacing w:after="100" w:before="0"/>
      </w:pPr>
      <w:r>
        <w:rPr>
          <w:rFonts w:ascii="Arial" w:cs="Arial" w:eastAsia="Arial" w:hAnsi="Arial"/>
          <w:sz w:val="22"/>
          <w:szCs w:val="22"/>
        </w:rPr>
        <w:t xml:space="preserve">This document provides a complete technical reference for all equations, dimensionless correlations, heuristics, assumptions, and validity constraints implemented in the Mixing Scale-Up Toolkit. The tool is intended to help chemical engineers systematically compare agitated tank mixing conditions at two different scales, identify which scale-up criterion is appropriate for a given process, and quantify the trade-offs involved in going from lab or pilot scale to production.</w:t>
      </w:r>
    </w:p>
    <w:p>
      <w:pPr>
        <w:spacing w:after="100" w:before="0"/>
      </w:pPr>
      <w:r>
        <w:rPr>
          <w:rFonts w:ascii="Arial" w:cs="Arial" w:eastAsia="Arial" w:hAnsi="Arial"/>
          <w:sz w:val="22"/>
          <w:szCs w:val="22"/>
        </w:rPr>
        <w:t xml:space="preserve">The correlations presented here are standard chemical engineering practice, drawn primarily from the authoritative texts of Paul, Atiemo-Obeng &amp; Kresta (2004), Nienow (1997, 1998), Tatterson (1991), and van’t Riet &amp; Tramper (1991). Each section notes the specific validity conditions and geometric constraints that must be satisfied for a correlation to be reliable. The tool implements these constraints as runtime warnings and parameter lockouts.</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All correlations in this toolkit assume standard geometric configurations unless otherwise stated. When inputs deviate from the validity range of a correlation, the tool displays a warning but may still compute a value. Such values should be treated as order-of-magnitude estimates only.</w:t>
      </w:r>
    </w:p>
    <w:p>
      <w:pPr>
        <w:spacing w:after="120" w:before="0"/>
      </w:pPr>
    </w:p>
    <w:p>
      <w:pPr>
        <w:pStyle w:val="Heading1"/>
        <w:pBdr>
          <w:bottom w:val="single" w:color="1F5FA6" w:sz="6" w:space="4"/>
        </w:pBdr>
        <w:spacing w:after="120" w:before="360"/>
      </w:pPr>
      <w:r>
        <w:rPr>
          <w:rFonts w:ascii="Arial" w:cs="Arial" w:eastAsia="Arial" w:hAnsi="Arial"/>
          <w:b/>
          <w:bCs/>
          <w:color w:val="1F5FA6"/>
          <w:sz w:val="28"/>
          <w:szCs w:val="28"/>
        </w:rPr>
        <w:t xml:space="preserve">2. Geometry and Dimensionless Ratios</w:t>
      </w:r>
    </w:p>
    <w:p>
      <w:pPr>
        <w:pStyle w:val="Heading2"/>
        <w:spacing w:after="80" w:before="280"/>
      </w:pPr>
      <w:r>
        <w:rPr>
          <w:rFonts w:ascii="Arial" w:cs="Arial" w:eastAsia="Arial" w:hAnsi="Arial"/>
          <w:b/>
          <w:bCs/>
          <w:color w:val="2C2C2C"/>
          <w:sz w:val="24"/>
          <w:szCs w:val="24"/>
        </w:rPr>
        <w:t xml:space="preserve">2.1 Key Geometric Parameters</w:t>
      </w:r>
    </w:p>
    <w:p>
      <w:pPr>
        <w:spacing w:after="100" w:before="0"/>
      </w:pPr>
      <w:r>
        <w:rPr>
          <w:rFonts w:ascii="Arial" w:cs="Arial" w:eastAsia="Arial" w:hAnsi="Arial"/>
          <w:sz w:val="22"/>
          <w:szCs w:val="22"/>
        </w:rPr>
        <w:t xml:space="preserve">The following parameters define tank and impeller geometry in this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4460"/>
      </w:tblGrid>
      <w:tr>
        <w:trPr>
          <w:tblHeader/>
        </w:trPr>
        <w:tc>
          <w:tcPr>
            <w:tcW w:type="dxa" w:w="9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2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Typical range</w:t>
            </w:r>
          </w:p>
        </w:tc>
        <w:tc>
          <w:tcPr>
            <w:tcW w:type="dxa" w:w="44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Tank diameter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length scale</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Liquid fill height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 = 0.8–1.5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Affects volume and circulation zones</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Impeller diameter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 = 0.25–0.50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Most critical scale-up ratio</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Off-bottom clearance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C/T = 0.25–0.33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Affects Njs and bottom drawdown</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Baffle width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 0.08–0.12</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 W = T/10</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N_b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baffles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 (standard)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Suppresses solid-body rotation</w:t>
            </w:r>
          </w:p>
        </w:tc>
      </w:tr>
      <w:tr>
        <w:tc>
          <w:tcPr>
            <w:tcW w:type="dxa" w:w="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N_i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impellers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 for tall tanks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 &gt; 1.2 often needs 2 impellers</w:t>
            </w:r>
          </w:p>
        </w:tc>
      </w:tr>
    </w:tbl>
    <w:p>
      <w:pPr>
        <w:spacing w:after="120" w:before="0"/>
      </w:pPr>
    </w:p>
    <w:p>
      <w:pPr>
        <w:pStyle w:val="Heading2"/>
        <w:spacing w:after="80" w:before="280"/>
      </w:pPr>
      <w:r>
        <w:rPr>
          <w:rFonts w:ascii="Arial" w:cs="Arial" w:eastAsia="Arial" w:hAnsi="Arial"/>
          <w:b/>
          <w:bCs/>
          <w:color w:val="2C2C2C"/>
          <w:sz w:val="24"/>
          <w:szCs w:val="24"/>
        </w:rPr>
        <w:t xml:space="preserve">2.2 Geometric Similarity</w:t>
      </w:r>
    </w:p>
    <w:p>
      <w:pPr>
        <w:spacing w:after="100" w:before="0"/>
      </w:pPr>
      <w:r>
        <w:rPr>
          <w:rFonts w:ascii="Arial" w:cs="Arial" w:eastAsia="Arial" w:hAnsi="Arial"/>
          <w:sz w:val="22"/>
          <w:szCs w:val="22"/>
        </w:rPr>
        <w:t xml:space="preserve">Geometric similarity between two tanks requires that all dimensionless geometric ratios are equal:</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D/T|small = D/T|large</w:t>
      </w:r>
      <w:r>
        <w:rPr>
          <w:rFonts w:ascii="Arial" w:cs="Arial" w:eastAsia="Arial" w:hAnsi="Arial"/>
          <w:i/>
          <w:iCs/>
          <w:color w:val="666666"/>
          <w:sz w:val="20"/>
          <w:szCs w:val="20"/>
        </w:rPr>
        <w:t xml:space="preserve">   (most important)</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H/T|small = H/T|large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C/T|small = C/T|large</w:t>
      </w:r>
      <w:r>
        <w:rPr>
          <w:rFonts w:ascii="Arial" w:cs="Arial" w:eastAsia="Arial" w:hAnsi="Arial"/>
          <w:i/>
          <w:iCs/>
          <w:color w:val="666666"/>
          <w:sz w:val="20"/>
          <w:szCs w:val="20"/>
        </w:rPr>
        <w:t xml:space="preserve">   (critical for Njs)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W/T|small = W/T|large</w:t>
      </w:r>
      <w:r>
        <w:rPr>
          <w:rFonts w:ascii="Arial" w:cs="Arial" w:eastAsia="Arial" w:hAnsi="Arial"/>
          <w:i/>
          <w:iCs/>
          <w:color w:val="666666"/>
          <w:sz w:val="20"/>
          <w:szCs w:val="20"/>
        </w:rPr>
        <w:t xml:space="preserve">   (baffle width ratio)</w:t>
      </w:r>
    </w:p>
    <w:p>
      <w:pPr>
        <w:spacing w:after="100" w:before="0"/>
      </w:pPr>
      <w:r>
        <w:rPr>
          <w:rFonts w:ascii="Arial" w:cs="Arial" w:eastAsia="Arial" w:hAnsi="Arial"/>
          <w:sz w:val="22"/>
          <w:szCs w:val="22"/>
        </w:rPr>
        <w:t xml:space="preserve">Most published scale-up correlations were derived assuming geometric similarity. When tanks are geometrically dissimilar, the correlations can be applied individually to each scale, but direct comparison of dimensionless numbers between scales becomes unreliable.</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tool computes a Geometric Similarity Score (0–100) as a weighted penalty function over the four ratios above plus impeller type and baffle configuration match. Criteria requiring geometric similarity are locked when the score falls below 60/100.</w:t>
      </w:r>
    </w:p>
    <w:p>
      <w:pPr>
        <w:spacing w:after="80" w:before="40"/>
        <w:ind w:left="360"/>
      </w:pPr>
      <w:r>
        <w:rPr>
          <w:rFonts w:ascii="Arial" w:cs="Arial" w:eastAsia="Arial" w:hAnsi="Arial"/>
          <w:i/>
          <w:iCs/>
          <w:color w:val="555555"/>
          <w:sz w:val="18"/>
          <w:szCs w:val="18"/>
        </w:rPr>
        <w:t xml:space="preserve">▶ Paul, E.L., Atiemo-Obeng, V.A., Kresta, S.M. (2004). Handbook of Industrial Mixing: Science and Practice. Ch. 12. Wiley-Interscience.</w:t>
      </w:r>
    </w:p>
    <w:p>
      <w:pPr>
        <w:spacing w:after="120" w:before="0"/>
      </w:pPr>
    </w:p>
    <w:p>
      <w:pPr>
        <w:pStyle w:val="Heading2"/>
        <w:spacing w:after="80" w:before="280"/>
      </w:pPr>
      <w:r>
        <w:rPr>
          <w:rFonts w:ascii="Arial" w:cs="Arial" w:eastAsia="Arial" w:hAnsi="Arial"/>
          <w:b/>
          <w:bCs/>
          <w:color w:val="2C2C2C"/>
          <w:sz w:val="24"/>
          <w:szCs w:val="24"/>
        </w:rPr>
        <w:t xml:space="preserve">2.3 Tank Volume</w:t>
      </w:r>
    </w:p>
    <w:p>
      <w:pPr>
        <w:spacing w:after="100" w:before="0"/>
      </w:pPr>
      <w:r>
        <w:rPr>
          <w:rFonts w:ascii="Arial" w:cs="Arial" w:eastAsia="Arial" w:hAnsi="Arial"/>
          <w:sz w:val="22"/>
          <w:szCs w:val="22"/>
        </w:rPr>
        <w:t xml:space="preserve">Tank volumes are computed from geometry with corrections for bottom shape: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V_flat = (π/4) × T² × H</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V_dished = V_flat + 0.0847 × T³</w:t>
      </w:r>
      <w:r>
        <w:rPr>
          <w:rFonts w:ascii="Arial" w:cs="Arial" w:eastAsia="Arial" w:hAnsi="Arial"/>
          <w:i/>
          <w:iCs/>
          <w:color w:val="666666"/>
          <w:sz w:val="20"/>
          <w:szCs w:val="20"/>
        </w:rPr>
        <w:t xml:space="preserve">   (elliptical/dished head correction)</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V_cone = V_flat + (π/12) × T² × (T/2)</w:t>
      </w:r>
      <w:r>
        <w:rPr>
          <w:rFonts w:ascii="Arial" w:cs="Arial" w:eastAsia="Arial" w:hAnsi="Arial"/>
          <w:i/>
          <w:iCs/>
          <w:color w:val="666666"/>
          <w:sz w:val="20"/>
          <w:szCs w:val="20"/>
        </w:rPr>
        <w:t xml:space="preserve">   (conical bottom correction)</w:t>
      </w:r>
    </w:p>
    <w:p>
      <w:pPr>
        <w:spacing w:after="100" w:before="0"/>
      </w:pPr>
      <w:r>
        <w:rPr>
          <w:rFonts w:ascii="Arial" w:cs="Arial" w:eastAsia="Arial" w:hAnsi="Arial"/>
          <w:sz w:val="22"/>
          <w:szCs w:val="22"/>
        </w:rPr>
        <w:t xml:space="preserve">Effective mixing volume is reduced by the total volume fraction displaced by internal obstructions: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V_eff = V_gross × (1 − φ_obs)</w:t>
      </w:r>
    </w:p>
    <w:p>
      <w:pPr>
        <w:spacing w:after="100" w:before="0"/>
      </w:pPr>
      <w:r>
        <w:rPr>
          <w:rFonts w:ascii="Arial" w:cs="Arial" w:eastAsia="Arial" w:hAnsi="Arial"/>
          <w:sz w:val="22"/>
          <w:szCs w:val="22"/>
        </w:rPr>
        <w:t xml:space="preserve">where φ_obs is the sum of obstruction volume fractions computed from coil pipe cross-section, probe dimensions, or plate thickness.</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3. Governing Dimensionless Numbers</w:t>
      </w:r>
    </w:p>
    <w:p>
      <w:pPr>
        <w:pStyle w:val="Heading2"/>
        <w:spacing w:after="80" w:before="280"/>
      </w:pPr>
      <w:r>
        <w:rPr>
          <w:rFonts w:ascii="Arial" w:cs="Arial" w:eastAsia="Arial" w:hAnsi="Arial"/>
          <w:b/>
          <w:bCs/>
          <w:color w:val="2C2C2C"/>
          <w:sz w:val="24"/>
          <w:szCs w:val="24"/>
        </w:rPr>
        <w:t xml:space="preserve">3.1 Reynolds Number</w:t>
      </w:r>
    </w:p>
    <w:p>
      <w:pPr>
        <w:spacing w:after="100" w:before="0"/>
      </w:pPr>
      <w:r>
        <w:rPr>
          <w:rFonts w:ascii="Arial" w:cs="Arial" w:eastAsia="Arial" w:hAnsi="Arial"/>
          <w:sz w:val="22"/>
          <w:szCs w:val="22"/>
        </w:rPr>
        <w:t xml:space="preserve">The impeller Reynolds number characterizes the ratio of inertial to viscous forces and determines the flow regime: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Re = ρ × N × D² / μ</w:t>
      </w:r>
    </w:p>
    <w:p>
      <w:pPr>
        <w:spacing w:after="100" w:before="0"/>
      </w:pPr>
      <w:r>
        <w:rPr>
          <w:rFonts w:ascii="Arial" w:cs="Arial" w:eastAsia="Arial" w:hAnsi="Arial"/>
          <w:sz w:val="22"/>
          <w:szCs w:val="22"/>
        </w:rPr>
        <w:t xml:space="preserve">where ρ is fluid density (kg/m³), N is rotational speed (s⁻¹), D is impeller diameter (m), and μ is dynamic viscosity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Re range</w:t>
            </w:r>
          </w:p>
        </w:tc>
        <w:tc>
          <w:tcPr>
            <w:tcW w:type="dxa" w:w="18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Flow regime</w:t>
            </w:r>
          </w:p>
        </w:tc>
        <w:tc>
          <w:tcPr>
            <w:tcW w:type="dxa" w:w="24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Np behavior</w:t>
            </w:r>
          </w:p>
        </w:tc>
        <w:tc>
          <w:tcPr>
            <w:tcW w:type="dxa" w:w="3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Correlation validity</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 &gt; 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Fully turbulent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Constant (regime-independent)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standard correlations valid</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100 &lt; Re &lt; 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Transitional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Varies with 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Most correlations unreliable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Re &lt;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Laminar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Np ∝ 1/Re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Only laminar correlations apply</w:t>
            </w:r>
          </w:p>
        </w:tc>
      </w:tr>
    </w:tbl>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These boundaries are approximate and impeller-dependent. The tool treats Re = 10,000 as the turbulent threshold for all impeller types, which is conservative for most radial-flow impellers.</w:t>
      </w:r>
    </w:p>
    <w:p>
      <w:pPr>
        <w:spacing w:after="80" w:before="40"/>
        <w:ind w:left="360"/>
      </w:pPr>
      <w:r>
        <w:rPr>
          <w:rFonts w:ascii="Arial" w:cs="Arial" w:eastAsia="Arial" w:hAnsi="Arial"/>
          <w:i/>
          <w:iCs/>
          <w:color w:val="555555"/>
          <w:sz w:val="18"/>
          <w:szCs w:val="18"/>
        </w:rPr>
        <w:t xml:space="preserve">▶ Tatterson, G.B. (1991). Fluid Mixing and Gas Dispersion in Agitated Tanks. McGraw-Hill, New York.</w:t>
      </w:r>
    </w:p>
    <w:p>
      <w:pPr>
        <w:spacing w:after="120" w:before="0"/>
      </w:pPr>
    </w:p>
    <w:p>
      <w:pPr>
        <w:pStyle w:val="Heading2"/>
        <w:spacing w:after="80" w:before="280"/>
      </w:pPr>
      <w:r>
        <w:rPr>
          <w:rFonts w:ascii="Arial" w:cs="Arial" w:eastAsia="Arial" w:hAnsi="Arial"/>
          <w:b/>
          <w:bCs/>
          <w:color w:val="2C2C2C"/>
          <w:sz w:val="24"/>
          <w:szCs w:val="24"/>
        </w:rPr>
        <w:t xml:space="preserve">3.2 Power Number (Newton Number)</w:t>
      </w:r>
    </w:p>
    <w:p>
      <w:pPr>
        <w:spacing w:after="100" w:before="0"/>
      </w:pPr>
      <w:r>
        <w:rPr>
          <w:rFonts w:ascii="Arial" w:cs="Arial" w:eastAsia="Arial" w:hAnsi="Arial"/>
          <w:sz w:val="22"/>
          <w:szCs w:val="22"/>
        </w:rPr>
        <w:t xml:space="preserve">The power number relates shaft power to fluid density, agitator speed, and impeller diameter:</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N_p = P / (ρ × N³ × D⁵)</w:t>
      </w:r>
    </w:p>
    <w:p>
      <w:pPr>
        <w:spacing w:after="100" w:before="0"/>
      </w:pPr>
      <w:r>
        <w:rPr>
          <w:rFonts w:ascii="Arial" w:cs="Arial" w:eastAsia="Arial" w:hAnsi="Arial"/>
          <w:sz w:val="22"/>
          <w:szCs w:val="22"/>
        </w:rPr>
        <w:t xml:space="preserve">In the fully turbulent regime, Np is constant for a given impeller type and baffle configuration. This constancy is the foundational assumption of turbulent power scale-up. The following values are used in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Impeller type</w:t>
            </w:r>
          </w:p>
        </w:tc>
        <w:tc>
          <w:tcPr>
            <w:tcW w:type="dxa" w:w="16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Np (turbulent, baffled)</w:t>
            </w:r>
          </w:p>
        </w:tc>
        <w:tc>
          <w:tcPr>
            <w:tcW w:type="dxa" w:w="16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Flow pattern</w:t>
            </w:r>
          </w:p>
        </w:tc>
        <w:tc>
          <w:tcPr>
            <w:tcW w:type="dxa" w:w="3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Typical D/T range</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Rushton disk turbine (6-blade 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Radial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0.25–0.45</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Pitched-blade turbine 45° (4-blade)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Axial / mixed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0.30–0.50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Hydrofoil (e.g. Lightnin A310)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Axial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0.35–0.55</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Marine propeller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Axial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0.30–0.50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Anchor / gate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0.35 (approx.)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Tangential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0.70–0.95</w:t>
            </w:r>
          </w:p>
        </w:tc>
      </w:tr>
    </w:tbl>
    <w:p>
      <w:pPr>
        <w:spacing w:after="100" w:before="0"/>
      </w:pPr>
      <w:r>
        <w:rPr>
          <w:rFonts w:ascii="Arial" w:cs="Arial" w:eastAsia="Arial" w:hAnsi="Arial"/>
          <w:sz w:val="22"/>
          <w:szCs w:val="22"/>
        </w:rPr>
        <w:t xml:space="preserve">For unbaffled tanks at Re &gt; 1,000, the effective Np is approximately 30% of the baffled value due to solid-body rotation. For under-baffled configurations (W &lt; T/20), a 70% correction is applied. For transitional or laminar Re, Np is computed as a blend between the turbulent value and the laminar asymptote Np ∝ 50/Re.</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Np values quoted here are representative literature averages for standard 4- or 6-blade configurations at standard D/T. Actual Np for a specific impeller should be obtained from the manufacturer or measured directly. Deviations of ±20% from tabulated values are common.</w:t>
      </w:r>
    </w:p>
    <w:p>
      <w:pPr>
        <w:spacing w:after="80" w:before="40"/>
        <w:ind w:left="360"/>
      </w:pPr>
      <w:r>
        <w:rPr>
          <w:rFonts w:ascii="Arial" w:cs="Arial" w:eastAsia="Arial" w:hAnsi="Arial"/>
          <w:i/>
          <w:iCs/>
          <w:color w:val="555555"/>
          <w:sz w:val="18"/>
          <w:szCs w:val="18"/>
        </w:rPr>
        <w:t xml:space="preserve">▶ Stitt, E.H. (2002). Alternative multiphase reactors for fine chemicals. Chemical Engineering Journal, 90(1-2), 47–60.</w:t>
      </w:r>
    </w:p>
    <w:p>
      <w:pPr>
        <w:spacing w:after="80" w:before="40"/>
        <w:ind w:left="360"/>
      </w:pPr>
      <w:r>
        <w:rPr>
          <w:rFonts w:ascii="Arial" w:cs="Arial" w:eastAsia="Arial" w:hAnsi="Arial"/>
          <w:i/>
          <w:iCs/>
          <w:color w:val="555555"/>
          <w:sz w:val="18"/>
          <w:szCs w:val="18"/>
        </w:rPr>
        <w:t xml:space="preserve">▶ Paul et al. (2004). Handbook of Industrial Mixing, Ch. 6.</w:t>
      </w:r>
    </w:p>
    <w:p>
      <w:pPr>
        <w:spacing w:after="120" w:before="0"/>
      </w:pPr>
    </w:p>
    <w:p>
      <w:pPr>
        <w:pStyle w:val="Heading2"/>
        <w:spacing w:after="80" w:before="280"/>
      </w:pPr>
      <w:r>
        <w:rPr>
          <w:rFonts w:ascii="Arial" w:cs="Arial" w:eastAsia="Arial" w:hAnsi="Arial"/>
          <w:b/>
          <w:bCs/>
          <w:color w:val="2C2C2C"/>
          <w:sz w:val="24"/>
          <w:szCs w:val="24"/>
        </w:rPr>
        <w:t xml:space="preserve">3.3 Froude Number</w:t>
      </w:r>
    </w:p>
    <w:p>
      <w:pPr>
        <w:spacing w:after="100" w:before="0"/>
      </w:pPr>
      <w:r>
        <w:rPr>
          <w:rFonts w:ascii="Arial" w:cs="Arial" w:eastAsia="Arial" w:hAnsi="Arial"/>
          <w:sz w:val="22"/>
          <w:szCs w:val="22"/>
        </w:rPr>
        <w:t xml:space="preserve">The Froude number characterizes the ratio of inertial to gravitational forces at the liquid surface: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Fr = N² × D / g</w:t>
      </w:r>
    </w:p>
    <w:p>
      <w:pPr>
        <w:spacing w:after="100" w:before="0"/>
      </w:pPr>
      <w:r>
        <w:rPr>
          <w:rFonts w:ascii="Arial" w:cs="Arial" w:eastAsia="Arial" w:hAnsi="Arial"/>
          <w:sz w:val="22"/>
          <w:szCs w:val="22"/>
        </w:rPr>
        <w:t xml:space="preserve">where g = 9.81 m/s². Fr is primarily relevant for unbaffled tanks, where gravity resists vortex formation. In baffled tanks, surface behavior is largely suppressed and Fr is of secondary importance. The following thresholds are used in the tool:</w:t>
      </w:r>
    </w:p>
    <w:p>
      <w:pPr>
        <w:pStyle w:val="ListParagraph"/>
        <w:numPr>
          <w:ilvl w:val="0"/>
          <w:numId w:val="2"/>
        </w:numPr>
        <w:spacing w:after="40" w:before="40"/>
      </w:pPr>
      <w:r>
        <w:rPr>
          <w:rFonts w:ascii="Arial" w:cs="Arial" w:eastAsia="Arial" w:hAnsi="Arial"/>
          <w:sz w:val="22"/>
          <w:szCs w:val="22"/>
        </w:rPr>
        <w:t xml:space="preserve">Fr &lt; 0.04: low surface activity, negligible gas entrainment risk</w:t>
      </w:r>
    </w:p>
    <w:p>
      <w:pPr>
        <w:pStyle w:val="ListParagraph"/>
        <w:numPr>
          <w:ilvl w:val="0"/>
          <w:numId w:val="2"/>
        </w:numPr>
        <w:spacing w:after="40" w:before="40"/>
      </w:pPr>
      <w:r>
        <w:rPr>
          <w:rFonts w:ascii="Arial" w:cs="Arial" w:eastAsia="Arial" w:hAnsi="Arial"/>
          <w:sz w:val="22"/>
          <w:szCs w:val="22"/>
        </w:rPr>
        <w:t xml:space="preserve">0.04 &lt; Fr &lt; 0.1: moderate vortex formation, surface aeration possible</w:t>
      </w:r>
    </w:p>
    <w:p>
      <w:pPr>
        <w:pStyle w:val="ListParagraph"/>
        <w:numPr>
          <w:ilvl w:val="0"/>
          <w:numId w:val="2"/>
        </w:numPr>
        <w:spacing w:after="40" w:before="40"/>
      </w:pPr>
      <w:r>
        <w:rPr>
          <w:rFonts w:ascii="Arial" w:cs="Arial" w:eastAsia="Arial" w:hAnsi="Arial"/>
          <w:sz w:val="22"/>
          <w:szCs w:val="22"/>
        </w:rPr>
        <w:t xml:space="preserve">Fr &gt; 0.1: significant vortex, high gas entrainment risk (warning issued)</w:t>
      </w:r>
    </w:p>
    <w:p>
      <w:pPr>
        <w:spacing w:after="100" w:before="0"/>
      </w:pPr>
      <w:r>
        <w:rPr>
          <w:rFonts w:ascii="Arial" w:cs="Arial" w:eastAsia="Arial" w:hAnsi="Arial"/>
          <w:sz w:val="22"/>
          <w:szCs w:val="22"/>
        </w:rPr>
        <w:t xml:space="preserve">For unbaffled tanks, Fr must be included in the power correlation via an empirical correction. For scale-up using the Froude criterion, the relationship is: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N_L = N_S × (D_S / D_L)^0.5</w:t>
      </w:r>
      <w:r>
        <w:rPr>
          <w:rFonts w:ascii="Arial" w:cs="Arial" w:eastAsia="Arial" w:hAnsi="Arial"/>
          <w:i/>
          <w:iCs/>
          <w:color w:val="666666"/>
          <w:sz w:val="20"/>
          <w:szCs w:val="20"/>
        </w:rPr>
        <w:t xml:space="preserve">   (equal Froude number)</w:t>
      </w:r>
    </w:p>
    <w:p>
      <w:pPr>
        <w:spacing w:after="80" w:before="40"/>
        <w:ind w:left="360"/>
      </w:pPr>
      <w:r>
        <w:rPr>
          <w:rFonts w:ascii="Arial" w:cs="Arial" w:eastAsia="Arial" w:hAnsi="Arial"/>
          <w:i/>
          <w:iCs/>
          <w:color w:val="555555"/>
          <w:sz w:val="18"/>
          <w:szCs w:val="18"/>
        </w:rPr>
        <w:t xml:space="preserve">▶ Rushton, J.H., Costich, E.W., Everett, H.J. (1950). Power characteristics of mixing impellers. Chemical Engineering Progress, 46(8), 395–404.</w:t>
      </w:r>
    </w:p>
    <w:p>
      <w:pPr>
        <w:spacing w:after="120" w:before="0"/>
      </w:pPr>
    </w:p>
    <w:p>
      <w:pPr>
        <w:pStyle w:val="Heading2"/>
        <w:spacing w:after="80" w:before="280"/>
      </w:pPr>
      <w:r>
        <w:rPr>
          <w:rFonts w:ascii="Arial" w:cs="Arial" w:eastAsia="Arial" w:hAnsi="Arial"/>
          <w:b/>
          <w:bCs/>
          <w:color w:val="2C2C2C"/>
          <w:sz w:val="24"/>
          <w:szCs w:val="24"/>
        </w:rPr>
        <w:t xml:space="preserve">3.4 Pumping Number (Flow Number)</w:t>
      </w:r>
    </w:p>
    <w:p>
      <w:pPr>
        <w:spacing w:after="100" w:before="0"/>
      </w:pPr>
      <w:r>
        <w:rPr>
          <w:rFonts w:ascii="Arial" w:cs="Arial" w:eastAsia="Arial" w:hAnsi="Arial"/>
          <w:sz w:val="22"/>
          <w:szCs w:val="22"/>
        </w:rPr>
        <w:t xml:space="preserve">The pumping number NQ relates impeller pumping capacity to rotational speed and diameter:</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N_Q = Q / (N × D³)</w:t>
      </w:r>
    </w:p>
    <w:p>
      <w:pPr>
        <w:spacing w:after="100" w:before="0"/>
      </w:pPr>
      <w:r>
        <w:rPr>
          <w:rFonts w:ascii="Arial" w:cs="Arial" w:eastAsia="Arial" w:hAnsi="Arial"/>
          <w:sz w:val="22"/>
          <w:szCs w:val="22"/>
        </w:rPr>
        <w:t xml:space="preserve">where Q is the volumetric flow rate pumped by the impeller (m³/s). Like Np, NQ is constant in the turbulent regime for a given impeller. Values used in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Impeller type</w:t>
            </w:r>
          </w:p>
        </w:tc>
        <w:tc>
          <w:tcPr>
            <w:tcW w:type="dxa" w:w="4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NQ (turbulent, baffled)</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Rushton disk turbine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0.72</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Pitched-blade turbine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0.79</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Hydrofoil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0.79</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Marine propeller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0.75</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Anchor /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0.20</w:t>
            </w:r>
          </w:p>
        </w:tc>
      </w:tr>
    </w:tbl>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NQ values apply to single-impeller, turbulent, baffled systems. For multiple impellers, individual pumping rates interact and the combined Q is not simply N_i × Q_single, particularly when impeller spacing is sub-optimal.</w:t>
      </w:r>
    </w:p>
    <w:p>
      <w:pPr>
        <w:spacing w:after="80" w:before="40"/>
        <w:ind w:left="360"/>
      </w:pPr>
      <w:r>
        <w:rPr>
          <w:rFonts w:ascii="Arial" w:cs="Arial" w:eastAsia="Arial" w:hAnsi="Arial"/>
          <w:i/>
          <w:iCs/>
          <w:color w:val="555555"/>
          <w:sz w:val="18"/>
          <w:szCs w:val="18"/>
        </w:rPr>
        <w:t xml:space="preserve">▶ Paul et al. (2004). Handbook of Industrial Mixing, Ch. 6.</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4. Power, Energy, and Shaft Calculations</w:t>
      </w:r>
    </w:p>
    <w:p>
      <w:pPr>
        <w:pStyle w:val="Heading2"/>
        <w:spacing w:after="80" w:before="280"/>
      </w:pPr>
      <w:r>
        <w:rPr>
          <w:rFonts w:ascii="Arial" w:cs="Arial" w:eastAsia="Arial" w:hAnsi="Arial"/>
          <w:b/>
          <w:bCs/>
          <w:color w:val="2C2C2C"/>
          <w:sz w:val="24"/>
          <w:szCs w:val="24"/>
        </w:rPr>
        <w:t xml:space="preserve">4.1 Shaft Power</w:t>
      </w:r>
    </w:p>
    <w:p>
      <w:pPr>
        <w:spacing w:after="100" w:before="0"/>
      </w:pPr>
      <w:r>
        <w:rPr>
          <w:rFonts w:ascii="Arial" w:cs="Arial" w:eastAsia="Arial" w:hAnsi="Arial"/>
          <w:sz w:val="22"/>
          <w:szCs w:val="22"/>
        </w:rPr>
        <w:t xml:space="preserve">Shaft power is calculated from the power number:</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P = N_p × ρ × N³ × D⁵</w:t>
      </w:r>
    </w:p>
    <w:p>
      <w:pPr>
        <w:spacing w:after="100" w:before="0"/>
      </w:pPr>
      <w:r>
        <w:rPr>
          <w:rFonts w:ascii="Arial" w:cs="Arial" w:eastAsia="Arial" w:hAnsi="Arial"/>
          <w:sz w:val="22"/>
          <w:szCs w:val="22"/>
        </w:rPr>
        <w:t xml:space="preserve">For multiple impellers (N_i impellers of identical type on one shaft):</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P_total = N_i × P_single</w:t>
      </w:r>
    </w:p>
    <w:p>
      <w:pPr>
        <w:spacing w:after="100" w:before="0"/>
      </w:pPr>
      <w:r>
        <w:rPr>
          <w:rFonts w:ascii="Arial" w:cs="Arial" w:eastAsia="Arial" w:hAnsi="Arial"/>
          <w:sz w:val="22"/>
          <w:szCs w:val="22"/>
        </w:rPr>
        <w:t xml:space="preserve">This assumes non-interacting impellers. The assumption is valid when impeller spacing S/D ≥ 1.0–1.5. When S/D &lt; 0.8, impeller interaction reduces total power and the tool issues a warning.</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torque on the shaft scales as T = P / (2πN). On scale-up, torque typically increases faster than power, making shaft and seal sizing the mechanical constraint rather than motor watts. This is highlighted in the Power &amp; Motor tab.</w:t>
      </w:r>
    </w:p>
    <w:p>
      <w:pPr>
        <w:spacing w:after="120" w:before="0"/>
      </w:pPr>
    </w:p>
    <w:p>
      <w:pPr>
        <w:pStyle w:val="Heading2"/>
        <w:spacing w:after="80" w:before="280"/>
      </w:pPr>
      <w:r>
        <w:rPr>
          <w:rFonts w:ascii="Arial" w:cs="Arial" w:eastAsia="Arial" w:hAnsi="Arial"/>
          <w:b/>
          <w:bCs/>
          <w:color w:val="2C2C2C"/>
          <w:sz w:val="24"/>
          <w:szCs w:val="24"/>
        </w:rPr>
        <w:t xml:space="preserve">4.2 Power per Unit Volume (P/V)</w:t>
      </w:r>
    </w:p>
    <w:p>
      <w:pPr>
        <w:spacing w:after="100" w:before="0"/>
      </w:pPr>
      <w:r>
        <w:rPr>
          <w:rFonts w:ascii="Arial" w:cs="Arial" w:eastAsia="Arial" w:hAnsi="Arial"/>
          <w:sz w:val="22"/>
          <w:szCs w:val="22"/>
        </w:rPr>
        <w:t xml:space="preserve">P/V is the most widely used single scale-up criterion:</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P/V = P / V_eff</w:t>
      </w:r>
    </w:p>
    <w:p>
      <w:pPr>
        <w:spacing w:after="100" w:before="0"/>
      </w:pPr>
      <w:r>
        <w:rPr>
          <w:rFonts w:ascii="Arial" w:cs="Arial" w:eastAsia="Arial" w:hAnsi="Arial"/>
          <w:sz w:val="22"/>
          <w:szCs w:val="22"/>
        </w:rPr>
        <w:t xml:space="preserve">It drives turbulent energy dissipation, bulk mixing intensity, gas-liquid mass transfer (k_La), and to a lesser extent heat transfer. At constant P/V with geometric similarity: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N_L = N_S × (D_S / D_L)^(2/3)</w:t>
      </w:r>
      <w:r>
        <w:rPr>
          <w:rFonts w:ascii="Arial" w:cs="Arial" w:eastAsia="Arial" w:hAnsi="Arial"/>
          <w:i/>
          <w:iCs/>
          <w:color w:val="666666"/>
          <w:sz w:val="20"/>
          <w:szCs w:val="20"/>
        </w:rPr>
        <w:t xml:space="preserve">   (equal P/V scale-up rule)</w:t>
      </w:r>
    </w:p>
    <w:p>
      <w:pPr>
        <w:spacing w:after="100" w:before="0"/>
      </w:pPr>
      <w:r>
        <w:rPr>
          <w:rFonts w:ascii="Arial" w:cs="Arial" w:eastAsia="Arial" w:hAnsi="Arial"/>
          <w:sz w:val="22"/>
          <w:szCs w:val="22"/>
        </w:rPr>
        <w:t xml:space="preserve">This can be derived from the condition that P/V|S = P/V|L with Np constant and V ∝ T³, D ∝ T (geometric similarity), which gives N ∝ D^(−2/3).</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P/V is a bulk average. Local power dissipation near the impeller tip can be 10–100× higher than the vessel average. For processes sensitive to local energy dissipation (e.g., emulsification, cell damage, crystal attrition), P/V alone is insufficient and must be supplemented with tip speed or Kolmogorov scale analysis.</w:t>
      </w:r>
    </w:p>
    <w:p>
      <w:pPr>
        <w:spacing w:after="80" w:before="40"/>
        <w:ind w:left="360"/>
      </w:pPr>
      <w:r>
        <w:rPr>
          <w:rFonts w:ascii="Arial" w:cs="Arial" w:eastAsia="Arial" w:hAnsi="Arial"/>
          <w:i/>
          <w:iCs/>
          <w:color w:val="555555"/>
          <w:sz w:val="18"/>
          <w:szCs w:val="18"/>
        </w:rPr>
        <w:t xml:space="preserve">▶ Van’t Riet, K., Tramper, J. (1991). Basic Bioreactor Design. Marcel Dekker, New York.</w:t>
      </w:r>
    </w:p>
    <w:p>
      <w:pPr>
        <w:spacing w:after="120" w:before="0"/>
      </w:pPr>
    </w:p>
    <w:p>
      <w:pPr>
        <w:pStyle w:val="Heading2"/>
        <w:spacing w:after="80" w:before="280"/>
      </w:pPr>
      <w:r>
        <w:rPr>
          <w:rFonts w:ascii="Arial" w:cs="Arial" w:eastAsia="Arial" w:hAnsi="Arial"/>
          <w:b/>
          <w:bCs/>
          <w:color w:val="2C2C2C"/>
          <w:sz w:val="24"/>
          <w:szCs w:val="24"/>
        </w:rPr>
        <w:t xml:space="preserve">4.3 Tip Speed</w:t>
      </w:r>
    </w:p>
    <w:p>
      <w:pPr>
        <w:spacing w:after="100" w:before="0"/>
      </w:pPr>
      <w:r>
        <w:rPr>
          <w:rFonts w:ascii="Arial" w:cs="Arial" w:eastAsia="Arial" w:hAnsi="Arial"/>
          <w:sz w:val="22"/>
          <w:szCs w:val="22"/>
        </w:rPr>
        <w:t xml:space="preserve">Impeller tip speed is the peripheral velocity at the outermost point of the impeller blade: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u_tip = π × D × N</w:t>
      </w:r>
    </w:p>
    <w:p>
      <w:pPr>
        <w:spacing w:after="100" w:before="0"/>
      </w:pPr>
      <w:r>
        <w:rPr>
          <w:rFonts w:ascii="Arial" w:cs="Arial" w:eastAsia="Arial" w:hAnsi="Arial"/>
          <w:sz w:val="22"/>
          <w:szCs w:val="22"/>
        </w:rPr>
        <w:t xml:space="preserve">Tip speed is a direct proxy for the maximum shear force experienced by fluid elements, suspended particles, and biological cells near the impeller. It is the appropriate scale-up criterion for shear-sensitive processes. The equal-tip-speed rule gives: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N_L = N_S × (D_S / D_L)</w:t>
      </w:r>
      <w:r>
        <w:rPr>
          <w:rFonts w:ascii="Arial" w:cs="Arial" w:eastAsia="Arial" w:hAnsi="Arial"/>
          <w:i/>
          <w:iCs/>
          <w:color w:val="666666"/>
          <w:sz w:val="20"/>
          <w:szCs w:val="20"/>
        </w:rPr>
        <w:t xml:space="preserve">   (equal tip speed scale-up rule)</w:t>
      </w:r>
    </w:p>
    <w:p>
      <w:pPr>
        <w:spacing w:after="100" w:before="0"/>
      </w:pPr>
      <w:r>
        <w:rPr>
          <w:rFonts w:ascii="Arial" w:cs="Arial" w:eastAsia="Arial" w:hAnsi="Arial"/>
          <w:sz w:val="22"/>
          <w:szCs w:val="22"/>
        </w:rPr>
        <w:t xml:space="preserve">Typical tip speed limits for shear-sensitive processes:</w:t>
      </w:r>
    </w:p>
    <w:p>
      <w:pPr>
        <w:pStyle w:val="ListParagraph"/>
        <w:numPr>
          <w:ilvl w:val="0"/>
          <w:numId w:val="2"/>
        </w:numPr>
        <w:spacing w:after="40" w:before="40"/>
      </w:pPr>
      <w:r>
        <w:rPr>
          <w:rFonts w:ascii="Arial" w:cs="Arial" w:eastAsia="Arial" w:hAnsi="Arial"/>
          <w:sz w:val="22"/>
          <w:szCs w:val="22"/>
        </w:rPr>
        <w:t xml:space="preserve">Mammalian cell culture: u_tip ≤ 1.5–2.0 m/s</w:t>
      </w:r>
    </w:p>
    <w:p>
      <w:pPr>
        <w:pStyle w:val="ListParagraph"/>
        <w:numPr>
          <w:ilvl w:val="0"/>
          <w:numId w:val="2"/>
        </w:numPr>
        <w:spacing w:after="40" w:before="40"/>
      </w:pPr>
      <w:r>
        <w:rPr>
          <w:rFonts w:ascii="Arial" w:cs="Arial" w:eastAsia="Arial" w:hAnsi="Arial"/>
          <w:sz w:val="22"/>
          <w:szCs w:val="22"/>
        </w:rPr>
        <w:t xml:space="preserve">Microbial fermentation: u_tip ≤ 3–5 m/s</w:t>
      </w:r>
    </w:p>
    <w:p>
      <w:pPr>
        <w:pStyle w:val="ListParagraph"/>
        <w:numPr>
          <w:ilvl w:val="0"/>
          <w:numId w:val="2"/>
        </w:numPr>
        <w:spacing w:after="40" w:before="40"/>
      </w:pPr>
      <w:r>
        <w:rPr>
          <w:rFonts w:ascii="Arial" w:cs="Arial" w:eastAsia="Arial" w:hAnsi="Arial"/>
          <w:sz w:val="22"/>
          <w:szCs w:val="22"/>
        </w:rPr>
        <w:t xml:space="preserve">Crystal suspension (fragile habits): u_tip ≤ 2–4 m/s</w:t>
      </w:r>
    </w:p>
    <w:p>
      <w:pPr>
        <w:spacing w:after="80" w:before="40"/>
        <w:ind w:left="360"/>
      </w:pPr>
      <w:r>
        <w:rPr>
          <w:rFonts w:ascii="Arial" w:cs="Arial" w:eastAsia="Arial" w:hAnsi="Arial"/>
          <w:i/>
          <w:iCs/>
          <w:color w:val="555555"/>
          <w:sz w:val="18"/>
          <w:szCs w:val="18"/>
        </w:rPr>
        <w:t xml:space="preserve">▶ Nienow, A.W. (1998). Hydrodynamics of stirred bioreactors. Applied Mechanics Reviews, 51(1), 3–32.</w:t>
      </w:r>
    </w:p>
    <w:p>
      <w:pPr>
        <w:spacing w:after="120" w:before="0"/>
      </w:pPr>
    </w:p>
    <w:p>
      <w:pPr>
        <w:pStyle w:val="Heading2"/>
        <w:spacing w:after="80" w:before="280"/>
      </w:pPr>
      <w:r>
        <w:rPr>
          <w:rFonts w:ascii="Arial" w:cs="Arial" w:eastAsia="Arial" w:hAnsi="Arial"/>
          <w:b/>
          <w:bCs/>
          <w:color w:val="2C2C2C"/>
          <w:sz w:val="24"/>
          <w:szCs w:val="24"/>
        </w:rPr>
        <w:t xml:space="preserve">4.4 Mean Turbulent Energy Dissipation Rate</w:t>
      </w:r>
    </w:p>
    <w:p>
      <w:pPr>
        <w:spacing w:after="100" w:before="0"/>
      </w:pPr>
      <w:r>
        <w:rPr>
          <w:rFonts w:ascii="Arial" w:cs="Arial" w:eastAsia="Arial" w:hAnsi="Arial"/>
          <w:sz w:val="22"/>
          <w:szCs w:val="22"/>
        </w:rPr>
        <w:t xml:space="preserve">The mean specific energy dissipation rate ε (m²/s³) is related to P/V by: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ε = P / (ρ × V_eff) = (P/V) / ρ</w:t>
      </w:r>
    </w:p>
    <w:p>
      <w:pPr>
        <w:spacing w:after="100" w:before="0"/>
      </w:pPr>
      <w:r>
        <w:rPr>
          <w:rFonts w:ascii="Arial" w:cs="Arial" w:eastAsia="Arial" w:hAnsi="Arial"/>
          <w:sz w:val="22"/>
          <w:szCs w:val="22"/>
        </w:rPr>
        <w:t xml:space="preserve">ε governs the Kolmogorov microscale and controls droplet/bubble breakup, crystal attrition, and aggregation kinetics. This is the mean ε over the entire vessel volume. Local ε near the impeller discharge zone is typically 10–100× higher.</w:t>
      </w:r>
    </w:p>
    <w:p>
      <w:pPr>
        <w:spacing w:after="80" w:before="40"/>
        <w:ind w:left="360"/>
      </w:pPr>
      <w:r>
        <w:rPr>
          <w:rFonts w:ascii="Arial" w:cs="Arial" w:eastAsia="Arial" w:hAnsi="Arial"/>
          <w:i/>
          <w:iCs/>
          <w:color w:val="555555"/>
          <w:sz w:val="18"/>
          <w:szCs w:val="18"/>
        </w:rPr>
        <w:t xml:space="preserve">▶ Hinze, J.O. (1975). Turbulence, 2nd ed. McGraw-Hill, New York.</w:t>
      </w:r>
    </w:p>
    <w:p>
      <w:pPr>
        <w:spacing w:after="120" w:before="0"/>
      </w:pPr>
    </w:p>
    <w:p>
      <w:pPr>
        <w:pStyle w:val="Heading2"/>
        <w:spacing w:after="80" w:before="280"/>
      </w:pPr>
      <w:r>
        <w:rPr>
          <w:rFonts w:ascii="Arial" w:cs="Arial" w:eastAsia="Arial" w:hAnsi="Arial"/>
          <w:b/>
          <w:bCs/>
          <w:color w:val="2C2C2C"/>
          <w:sz w:val="24"/>
          <w:szCs w:val="24"/>
        </w:rPr>
        <w:t xml:space="preserve">4.5 Kolmogorov Microscale</w:t>
      </w:r>
    </w:p>
    <w:p>
      <w:pPr>
        <w:spacing w:after="100" w:before="0"/>
      </w:pPr>
      <w:r>
        <w:rPr>
          <w:rFonts w:ascii="Arial" w:cs="Arial" w:eastAsia="Arial" w:hAnsi="Arial"/>
          <w:sz w:val="22"/>
          <w:szCs w:val="22"/>
        </w:rPr>
        <w:t xml:space="preserve">The Kolmogorov microscale λ_K is the size of the smallest turbulent eddies, below which viscous dissipation dominates over inertial forces: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λ_K = (ν³ / ε)^0.25</w:t>
      </w:r>
    </w:p>
    <w:p>
      <w:pPr>
        <w:spacing w:after="100" w:before="0"/>
      </w:pPr>
      <w:r>
        <w:rPr>
          <w:rFonts w:ascii="Arial" w:cs="Arial" w:eastAsia="Arial" w:hAnsi="Arial"/>
          <w:sz w:val="22"/>
          <w:szCs w:val="22"/>
        </w:rPr>
        <w:t xml:space="preserve">where ν = μ/ρ is the kinematic viscosity (m²/s). λ_K sets the minimum eddy size in the turbulent cascade. Its relevance to process outcomes:</w:t>
      </w:r>
    </w:p>
    <w:p>
      <w:pPr>
        <w:pStyle w:val="ListParagraph"/>
        <w:numPr>
          <w:ilvl w:val="0"/>
          <w:numId w:val="2"/>
        </w:numPr>
        <w:spacing w:after="40" w:before="40"/>
      </w:pPr>
      <w:r>
        <w:rPr>
          <w:rFonts w:ascii="Arial" w:cs="Arial" w:eastAsia="Arial" w:hAnsi="Arial"/>
          <w:sz w:val="22"/>
          <w:szCs w:val="22"/>
        </w:rPr>
        <w:t xml:space="preserve">Cell damage: significant risk when λ_K ≈ cell size (~10–20 μm for mammalian cells)</w:t>
      </w:r>
    </w:p>
    <w:p>
      <w:pPr>
        <w:pStyle w:val="ListParagraph"/>
        <w:numPr>
          <w:ilvl w:val="0"/>
          <w:numId w:val="2"/>
        </w:numPr>
        <w:spacing w:after="40" w:before="40"/>
      </w:pPr>
      <w:r>
        <w:rPr>
          <w:rFonts w:ascii="Arial" w:cs="Arial" w:eastAsia="Arial" w:hAnsi="Arial"/>
          <w:sz w:val="22"/>
          <w:szCs w:val="22"/>
        </w:rPr>
        <w:t xml:space="preserve">Crystal attrition: becomes significant when λ_K ≈ crystal size</w:t>
      </w:r>
    </w:p>
    <w:p>
      <w:pPr>
        <w:pStyle w:val="ListParagraph"/>
        <w:numPr>
          <w:ilvl w:val="0"/>
          <w:numId w:val="2"/>
        </w:numPr>
        <w:spacing w:after="40" w:before="40"/>
      </w:pPr>
      <w:r>
        <w:rPr>
          <w:rFonts w:ascii="Arial" w:cs="Arial" w:eastAsia="Arial" w:hAnsi="Arial"/>
          <w:sz w:val="22"/>
          <w:szCs w:val="22"/>
        </w:rPr>
        <w:t xml:space="preserve">Emulsification: mean drop size d ∝ λ_K in the high-energy limit (Hinze criterion)</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λ_K computed in this tool uses the mean ε. Near the impeller, where ε is 10–100× higher, λ_K is correspondingly 1.8–3.2× smaller. For damage-sensitive processes, this near-impeller λ_K is the relevant value.</w:t>
      </w:r>
    </w:p>
    <w:p>
      <w:pPr>
        <w:spacing w:after="80" w:before="40"/>
        <w:ind w:left="360"/>
      </w:pPr>
      <w:r>
        <w:rPr>
          <w:rFonts w:ascii="Arial" w:cs="Arial" w:eastAsia="Arial" w:hAnsi="Arial"/>
          <w:i/>
          <w:iCs/>
          <w:color w:val="555555"/>
          <w:sz w:val="18"/>
          <w:szCs w:val="18"/>
        </w:rPr>
        <w:t xml:space="preserve">▶ Kolmogorov, A.N. (1941). The local structure of turbulence in incompressible viscous fluid for very large Reynolds numbers. Doklady Akademii Nauk SSSR, 30, 299–303.</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5. Blend Time and Circulation</w:t>
      </w:r>
    </w:p>
    <w:p>
      <w:pPr>
        <w:pStyle w:val="Heading2"/>
        <w:spacing w:after="80" w:before="280"/>
      </w:pPr>
      <w:r>
        <w:rPr>
          <w:rFonts w:ascii="Arial" w:cs="Arial" w:eastAsia="Arial" w:hAnsi="Arial"/>
          <w:b/>
          <w:bCs/>
          <w:color w:val="2C2C2C"/>
          <w:sz w:val="24"/>
          <w:szCs w:val="24"/>
        </w:rPr>
        <w:t xml:space="preserve">5.1 Blend Time (Nienow Correlation)</w:t>
      </w:r>
    </w:p>
    <w:p>
      <w:pPr>
        <w:spacing w:after="100" w:before="0"/>
      </w:pPr>
      <w:r>
        <w:rPr>
          <w:rFonts w:ascii="Arial" w:cs="Arial" w:eastAsia="Arial" w:hAnsi="Arial"/>
          <w:sz w:val="22"/>
          <w:szCs w:val="22"/>
        </w:rPr>
        <w:t xml:space="preserve">Blend time θ_m is defined as the time required to achieve 95% concentration homogeneity following a tracer injection. The tool uses the Nienow (1997) correlation for turbulent baffled tanks: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θ_m = 5.9 × (T/D)² × (D/T)^(1/3) / N</w:t>
      </w:r>
    </w:p>
    <w:p>
      <w:pPr>
        <w:spacing w:after="100" w:before="0"/>
      </w:pPr>
      <w:r>
        <w:rPr>
          <w:rFonts w:ascii="Arial" w:cs="Arial" w:eastAsia="Arial" w:hAnsi="Arial"/>
          <w:sz w:val="22"/>
          <w:szCs w:val="22"/>
        </w:rPr>
        <w:t xml:space="preserve">Validity conditions for this correlation:</w:t>
      </w:r>
    </w:p>
    <w:p>
      <w:pPr>
        <w:pStyle w:val="ListParagraph"/>
        <w:numPr>
          <w:ilvl w:val="0"/>
          <w:numId w:val="2"/>
        </w:numPr>
        <w:spacing w:after="40" w:before="40"/>
      </w:pPr>
      <w:r>
        <w:rPr>
          <w:rFonts w:ascii="Arial" w:cs="Arial" w:eastAsia="Arial" w:hAnsi="Arial"/>
          <w:sz w:val="22"/>
          <w:szCs w:val="22"/>
        </w:rPr>
        <w:t xml:space="preserve">Re &gt; 10,000 (turbulent flow)</w:t>
      </w:r>
    </w:p>
    <w:p>
      <w:pPr>
        <w:pStyle w:val="ListParagraph"/>
        <w:numPr>
          <w:ilvl w:val="0"/>
          <w:numId w:val="2"/>
        </w:numPr>
        <w:spacing w:after="40" w:before="40"/>
      </w:pPr>
      <w:r>
        <w:rPr>
          <w:rFonts w:ascii="Arial" w:cs="Arial" w:eastAsia="Arial" w:hAnsi="Arial"/>
          <w:sz w:val="22"/>
          <w:szCs w:val="22"/>
        </w:rPr>
        <w:t xml:space="preserve">D/T = 0.20–0.50</w:t>
      </w:r>
    </w:p>
    <w:p>
      <w:pPr>
        <w:pStyle w:val="ListParagraph"/>
        <w:numPr>
          <w:ilvl w:val="0"/>
          <w:numId w:val="2"/>
        </w:numPr>
        <w:spacing w:after="40" w:before="40"/>
      </w:pPr>
      <w:r>
        <w:rPr>
          <w:rFonts w:ascii="Arial" w:cs="Arial" w:eastAsia="Arial" w:hAnsi="Arial"/>
          <w:sz w:val="22"/>
          <w:szCs w:val="22"/>
        </w:rPr>
        <w:t xml:space="preserve">Standard baffled configuration (4 baffles, W = T/10)</w:t>
      </w:r>
    </w:p>
    <w:p>
      <w:pPr>
        <w:pStyle w:val="ListParagraph"/>
        <w:numPr>
          <w:ilvl w:val="0"/>
          <w:numId w:val="2"/>
        </w:numPr>
        <w:spacing w:after="40" w:before="40"/>
      </w:pPr>
      <w:r>
        <w:rPr>
          <w:rFonts w:ascii="Arial" w:cs="Arial" w:eastAsia="Arial" w:hAnsi="Arial"/>
          <w:sz w:val="22"/>
          <w:szCs w:val="22"/>
        </w:rPr>
        <w:t xml:space="preserve">Single impeller or multiple impellers with S/D ≥ 1.0</w:t>
      </w:r>
    </w:p>
    <w:p>
      <w:pPr>
        <w:spacing w:after="100" w:before="0"/>
      </w:pPr>
      <w:r>
        <w:rPr>
          <w:rFonts w:ascii="Arial" w:cs="Arial" w:eastAsia="Arial" w:hAnsi="Arial"/>
          <w:sz w:val="22"/>
          <w:szCs w:val="22"/>
        </w:rPr>
        <w:t xml:space="preserve">The scale-up rule for equal blend time is derived by setting θ_m|S = θ_m|L with geometric similarity: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N_L = N_S × (T_S / T_L) × (D_L / D_S)^(2/3)</w:t>
      </w:r>
      <w:r>
        <w:rPr>
          <w:rFonts w:ascii="Arial" w:cs="Arial" w:eastAsia="Arial" w:hAnsi="Arial"/>
          <w:i/>
          <w:iCs/>
          <w:color w:val="666666"/>
          <w:sz w:val="20"/>
          <w:szCs w:val="20"/>
        </w:rPr>
        <w:t xml:space="preserve">   (equal blend time scale-up rule)</w:t>
      </w:r>
    </w:p>
    <w:p>
      <w:pPr>
        <w:spacing w:after="100" w:before="0"/>
      </w:pPr>
      <w:r>
        <w:rPr>
          <w:rFonts w:ascii="Arial" w:cs="Arial" w:eastAsia="Arial" w:hAnsi="Arial"/>
          <w:sz w:val="22"/>
          <w:szCs w:val="22"/>
        </w:rPr>
        <w:t xml:space="preserve">A fundamental consequence of this correlation is that blend time always increases on scale-up for any fixed scale-up criterion other than equal blend time itself. For example, at constant P/V (the most common criterion), blend time scales approximately as: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θ_m ∝ T^(2/3)</w:t>
      </w:r>
      <w:r>
        <w:rPr>
          <w:rFonts w:ascii="Arial" w:cs="Arial" w:eastAsia="Arial" w:hAnsi="Arial"/>
          <w:i/>
          <w:iCs/>
          <w:color w:val="666666"/>
          <w:sz w:val="20"/>
          <w:szCs w:val="20"/>
        </w:rPr>
        <w:t xml:space="preserve">   (at constant P/V, geometric similarity)</w:t>
      </w:r>
    </w:p>
    <w:p>
      <w:pPr>
        <w:spacing w:after="100" w:before="0"/>
      </w:pPr>
      <w:r>
        <w:rPr>
          <w:rFonts w:ascii="Arial" w:cs="Arial" w:eastAsia="Arial" w:hAnsi="Arial"/>
          <w:sz w:val="22"/>
          <w:szCs w:val="22"/>
        </w:rPr>
        <w:t xml:space="preserve">A 10× volume scale-up (T scale factor ≈2.15×) increases blend time by approximately 2.15^(2/3) ≈ 1.7× at constant P/V. This is a design constraint that cannot be eliminated, only managed.</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Nienow correlation is not valid in transitional or laminar flow. The tool suppresses blend time output when Re &lt; 10,000 and displays a warning.</w:t>
      </w:r>
    </w:p>
    <w:p>
      <w:pPr>
        <w:spacing w:after="80" w:before="40"/>
        <w:ind w:left="360"/>
      </w:pPr>
      <w:r>
        <w:rPr>
          <w:rFonts w:ascii="Arial" w:cs="Arial" w:eastAsia="Arial" w:hAnsi="Arial"/>
          <w:i/>
          <w:iCs/>
          <w:color w:val="555555"/>
          <w:sz w:val="18"/>
          <w:szCs w:val="18"/>
        </w:rPr>
        <w:t xml:space="preserve">▶ Nienow, A.W. (1997). On impeller circulation and mixing effectiveness in the turbulent flow regime. Chemical Engineering Science, 52(15), 2557–2565.</w:t>
      </w:r>
    </w:p>
    <w:p>
      <w:pPr>
        <w:spacing w:after="80" w:before="40"/>
        <w:ind w:left="360"/>
      </w:pPr>
      <w:r>
        <w:rPr>
          <w:rFonts w:ascii="Arial" w:cs="Arial" w:eastAsia="Arial" w:hAnsi="Arial"/>
          <w:i/>
          <w:iCs/>
          <w:color w:val="555555"/>
          <w:sz w:val="18"/>
          <w:szCs w:val="18"/>
        </w:rPr>
        <w:t xml:space="preserve">▶ Nienow, A.W. (1997). The mixer as a reactor: Liquid/liquid systems. In: Mixing in the Process Industries. Butterworth-Heinemann.</w:t>
      </w:r>
    </w:p>
    <w:p>
      <w:pPr>
        <w:spacing w:after="120" w:before="0"/>
      </w:pPr>
    </w:p>
    <w:p>
      <w:pPr>
        <w:pStyle w:val="Heading2"/>
        <w:spacing w:after="80" w:before="280"/>
      </w:pPr>
      <w:r>
        <w:rPr>
          <w:rFonts w:ascii="Arial" w:cs="Arial" w:eastAsia="Arial" w:hAnsi="Arial"/>
          <w:b/>
          <w:bCs/>
          <w:color w:val="2C2C2C"/>
          <w:sz w:val="24"/>
          <w:szCs w:val="24"/>
        </w:rPr>
        <w:t xml:space="preserve">5.2 Circulation Time</w:t>
      </w:r>
    </w:p>
    <w:p>
      <w:pPr>
        <w:spacing w:after="100" w:before="0"/>
      </w:pPr>
      <w:r>
        <w:rPr>
          <w:rFonts w:ascii="Arial" w:cs="Arial" w:eastAsia="Arial" w:hAnsi="Arial"/>
          <w:sz w:val="22"/>
          <w:szCs w:val="22"/>
        </w:rPr>
        <w:t xml:space="preserve">Mean circulation time is the average time for a fluid element to complete one full loop through the vessel:</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θ_c = V_eff / (N_Q × N × D³ × N_i)</w:t>
      </w:r>
    </w:p>
    <w:p>
      <w:pPr>
        <w:spacing w:after="100" w:before="0"/>
      </w:pPr>
      <w:r>
        <w:rPr>
          <w:rFonts w:ascii="Arial" w:cs="Arial" w:eastAsia="Arial" w:hAnsi="Arial"/>
          <w:sz w:val="22"/>
          <w:szCs w:val="22"/>
        </w:rPr>
        <w:t xml:space="preserve">Blend time and circulation time are related empirically by: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θ_m ≈ 3 – 5 × θ_c</w:t>
      </w:r>
    </w:p>
    <w:p>
      <w:pPr>
        <w:spacing w:after="100" w:before="0"/>
      </w:pPr>
      <w:r>
        <w:rPr>
          <w:rFonts w:ascii="Arial" w:cs="Arial" w:eastAsia="Arial" w:hAnsi="Arial"/>
          <w:sz w:val="22"/>
          <w:szCs w:val="22"/>
        </w:rPr>
        <w:t xml:space="preserve">The precise ratio depends on the feed point, measurement location, and degree of mixing inhomogeneity tolerated. The circulation time is a useful supplementary parameter for identifying bulk flow limitations (dead zones, poor top-to-bottom turnover).</w:t>
      </w:r>
    </w:p>
    <w:p>
      <w:pPr>
        <w:spacing w:after="120" w:before="0"/>
      </w:pPr>
    </w:p>
    <w:p>
      <w:pPr>
        <w:pStyle w:val="Heading2"/>
        <w:spacing w:after="80" w:before="280"/>
      </w:pPr>
      <w:r>
        <w:rPr>
          <w:rFonts w:ascii="Arial" w:cs="Arial" w:eastAsia="Arial" w:hAnsi="Arial"/>
          <w:b/>
          <w:bCs/>
          <w:color w:val="2C2C2C"/>
          <w:sz w:val="24"/>
          <w:szCs w:val="24"/>
        </w:rPr>
        <w:t xml:space="preserve">5.3 Damköhler Number</w:t>
      </w:r>
    </w:p>
    <w:p>
      <w:pPr>
        <w:spacing w:after="100" w:before="0"/>
      </w:pPr>
      <w:r>
        <w:rPr>
          <w:rFonts w:ascii="Arial" w:cs="Arial" w:eastAsia="Arial" w:hAnsi="Arial"/>
          <w:sz w:val="22"/>
          <w:szCs w:val="22"/>
        </w:rPr>
        <w:t xml:space="preserve">The Damköhler number Da quantifies the ratio of the mixing timescale to the reaction timescale: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Da = θ_m / t_{1/2}</w:t>
      </w:r>
    </w:p>
    <w:p>
      <w:pPr>
        <w:spacing w:after="100" w:before="0"/>
      </w:pPr>
      <w:r>
        <w:rPr>
          <w:rFonts w:ascii="Arial" w:cs="Arial" w:eastAsia="Arial" w:hAnsi="Arial"/>
          <w:sz w:val="22"/>
          <w:szCs w:val="22"/>
        </w:rPr>
        <w:t xml:space="preserve">where t_{1/2} is the reaction half-life (s). This dimensionless group determines whether mixing or reaction kinetics is rate-limiting: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Da range</w:t>
            </w:r>
          </w:p>
        </w:tc>
        <w:tc>
          <w:tcPr>
            <w:tcW w:type="dxa" w:w="18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60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Implication for scale-up</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Da &lt;&lt; 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Mixing fast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Mixing not limiting; criterion choice has little effect on yield</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Da ≈ 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Coupled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Mixing and reaction coupled; criterion choice directly affects selectivity</w:t>
            </w:r>
          </w:p>
        </w:tc>
      </w:tr>
      <w:tr>
        <w:tc>
          <w:tcPr>
            <w:tcW w:type="dxa" w:w="1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Da &gt;&gt;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Mixing limited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Local concentration gradients control selectivity; equal blend time is the appropriate criterion regardless of energy cost</w:t>
            </w:r>
          </w:p>
        </w:tc>
      </w:tr>
    </w:tbl>
    <w:p>
      <w:pPr>
        <w:spacing w:after="100" w:before="0"/>
      </w:pPr>
      <w:r>
        <w:rPr>
          <w:rFonts w:ascii="Arial" w:cs="Arial" w:eastAsia="Arial" w:hAnsi="Arial"/>
          <w:sz w:val="22"/>
          <w:szCs w:val="22"/>
        </w:rPr>
        <w:t xml:space="preserve">A particularly critical situation occurs when Da &lt; 0.1 at small scale (mixing appears fast) but Da &gt; 1 at large scale (mixing becomes limiting). The tool detects and flags this transition, as it represents a qualitative change in process behavior that cannot be captured by simple parameter matching.</w:t>
      </w:r>
    </w:p>
    <w:p>
      <w:pPr>
        <w:spacing w:after="80" w:before="40"/>
        <w:ind w:left="360"/>
      </w:pPr>
      <w:r>
        <w:rPr>
          <w:rFonts w:ascii="Arial" w:cs="Arial" w:eastAsia="Arial" w:hAnsi="Arial"/>
          <w:i/>
          <w:iCs/>
          <w:color w:val="555555"/>
          <w:sz w:val="18"/>
          <w:szCs w:val="18"/>
        </w:rPr>
        <w:t xml:space="preserve">▶ Baldyga, J., Bourne, J.R. (1999). Turbulent Mixing and Chemical Reactions. John Wiley &amp; Sons, Chichester.</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6. Non-Newtonian Fluid Behavior</w:t>
      </w:r>
    </w:p>
    <w:p>
      <w:pPr>
        <w:pStyle w:val="Heading2"/>
        <w:spacing w:after="80" w:before="280"/>
      </w:pPr>
      <w:r>
        <w:rPr>
          <w:rFonts w:ascii="Arial" w:cs="Arial" w:eastAsia="Arial" w:hAnsi="Arial"/>
          <w:b/>
          <w:bCs/>
          <w:color w:val="2C2C2C"/>
          <w:sz w:val="24"/>
          <w:szCs w:val="24"/>
        </w:rPr>
        <w:t xml:space="preserve">6.1 Metzner-Otto Method</w:t>
      </w:r>
    </w:p>
    <w:p>
      <w:pPr>
        <w:spacing w:after="100" w:before="0"/>
      </w:pPr>
      <w:r>
        <w:rPr>
          <w:rFonts w:ascii="Arial" w:cs="Arial" w:eastAsia="Arial" w:hAnsi="Arial"/>
          <w:sz w:val="22"/>
          <w:szCs w:val="22"/>
        </w:rPr>
        <w:t xml:space="preserve">For non-Newtonian fluids, an apparent viscosity μ_app is estimated at the characteristic shear rate near the impeller, using the Metzner-Otto constant k_s: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γ̇_avg = k_s × N</w:t>
      </w:r>
    </w:p>
    <w:p>
      <w:pPr>
        <w:spacing w:after="100" w:before="0"/>
      </w:pPr>
      <w:r>
        <w:rPr>
          <w:rFonts w:ascii="Arial" w:cs="Arial" w:eastAsia="Arial" w:hAnsi="Arial"/>
          <w:sz w:val="22"/>
          <w:szCs w:val="22"/>
        </w:rPr>
        <w:t xml:space="preserve">where γ̇_avg is the average shear rate (s⁻¹) at the impeller. For a power-law fluid (τ = K × γ̇^n):</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μ_app = K × (k_s × N)^(n−1)</w:t>
      </w:r>
    </w:p>
    <w:p>
      <w:pPr>
        <w:spacing w:after="100" w:before="0"/>
      </w:pPr>
      <w:r>
        <w:rPr>
          <w:rFonts w:ascii="Arial" w:cs="Arial" w:eastAsia="Arial" w:hAnsi="Arial"/>
          <w:sz w:val="22"/>
          <w:szCs w:val="22"/>
        </w:rPr>
        <w:t xml:space="preserve">For a Bingham plastic fluid (τ = τ_0 + K × γ̇):</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μ_app = τ_0 / (k_s × N) + K</w:t>
      </w:r>
    </w:p>
    <w:p>
      <w:pPr>
        <w:spacing w:after="100" w:before="0"/>
      </w:pPr>
      <w:r>
        <w:rPr>
          <w:rFonts w:ascii="Arial" w:cs="Arial" w:eastAsia="Arial" w:hAnsi="Arial"/>
          <w:sz w:val="22"/>
          <w:szCs w:val="22"/>
        </w:rPr>
        <w:t xml:space="preserve">Metzner-Otto constants used in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Impeller type</w:t>
            </w:r>
          </w:p>
        </w:tc>
        <w:tc>
          <w:tcPr>
            <w:tcW w:type="dxa" w:w="4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k_s</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Rushton disk turbine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11.5</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Pitched-blade turbine 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13.0</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Hydrofoil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10.0</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Marine propeller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11.5</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Anchor /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300</w:t>
            </w:r>
          </w:p>
        </w:tc>
      </w:tr>
    </w:tbl>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Metzner-Otto method gives a bulk-average apparent viscosity. It is valid for inelastic, homogeneous non-Newtonian fluids in the laminar-to-transition regime. It is NOT applicable to highly viscoelastic fluids, gels with memory, or heterogeneous systems where apparent viscosity varies spatially.</w:t>
      </w:r>
    </w:p>
    <w:p>
      <w:pPr>
        <w:spacing w:after="80" w:before="40"/>
        <w:ind w:left="360"/>
      </w:pPr>
      <w:r>
        <w:rPr>
          <w:rFonts w:ascii="Arial" w:cs="Arial" w:eastAsia="Arial" w:hAnsi="Arial"/>
          <w:i/>
          <w:iCs/>
          <w:color w:val="555555"/>
          <w:sz w:val="18"/>
          <w:szCs w:val="18"/>
        </w:rPr>
        <w:t xml:space="preserve">▶ Metzner, A.B., Otto, R.E. (1957). Agitation of non-Newtonian fluids. AIChE Journal, 3(1), 3–10.</w:t>
      </w:r>
    </w:p>
    <w:p>
      <w:pPr>
        <w:spacing w:after="120" w:before="0"/>
      </w:pPr>
    </w:p>
    <w:p>
      <w:pPr>
        <w:pStyle w:val="Heading2"/>
        <w:spacing w:after="80" w:before="280"/>
      </w:pPr>
      <w:r>
        <w:rPr>
          <w:rFonts w:ascii="Arial" w:cs="Arial" w:eastAsia="Arial" w:hAnsi="Arial"/>
          <w:b/>
          <w:bCs/>
          <w:color w:val="2C2C2C"/>
          <w:sz w:val="24"/>
          <w:szCs w:val="24"/>
        </w:rPr>
        <w:t xml:space="preserve">6.2 Bingham Cavern Radius</w:t>
      </w:r>
    </w:p>
    <w:p>
      <w:pPr>
        <w:spacing w:after="100" w:before="0"/>
      </w:pPr>
      <w:r>
        <w:rPr>
          <w:rFonts w:ascii="Arial" w:cs="Arial" w:eastAsia="Arial" w:hAnsi="Arial"/>
          <w:sz w:val="22"/>
          <w:szCs w:val="22"/>
        </w:rPr>
        <w:t xml:space="preserve">For Bingham plastics, the cavern is the region near the impeller where shear stress exceeds the yield stress and flow actually occurs. Outside this cavern the fluid is stagnant. The cavern radius is estimated from the impeller torque: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τ_imp = 0.5 × P_single / (π × (D/2)³)</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r_cav / r_tank = (D/T) × (τ_imp / τ_0)^(1/3)</w:t>
      </w:r>
    </w:p>
    <w:p>
      <w:pPr>
        <w:spacing w:after="100" w:before="0"/>
      </w:pPr>
      <w:r>
        <w:rPr>
          <w:rFonts w:ascii="Arial" w:cs="Arial" w:eastAsia="Arial" w:hAnsi="Arial"/>
          <w:sz w:val="22"/>
          <w:szCs w:val="22"/>
        </w:rPr>
        <w:t xml:space="preserve">When r_cav / r_tank &lt; 0.5, significant stagnant zones exist near the tank wall. Full tank mixing requires r_cav / r_tank &gt; 1.0, which may require much higher N or a different impeller design (e.g., helical ribbon for highly viscoplastic materials).</w:t>
      </w:r>
    </w:p>
    <w:p>
      <w:pPr>
        <w:spacing w:after="80" w:before="40"/>
        <w:ind w:left="360"/>
      </w:pPr>
      <w:r>
        <w:rPr>
          <w:rFonts w:ascii="Arial" w:cs="Arial" w:eastAsia="Arial" w:hAnsi="Arial"/>
          <w:i/>
          <w:iCs/>
          <w:color w:val="555555"/>
          <w:sz w:val="18"/>
          <w:szCs w:val="18"/>
        </w:rPr>
        <w:t xml:space="preserve">▶ Wichterle, K., Wein, O. (1981). Threshold of mixing of non-Newtonian liquids. International Chemical Engineering, 21(1), 116–120.</w:t>
      </w:r>
    </w:p>
    <w:p>
      <w:pPr>
        <w:spacing w:after="120" w:before="0"/>
      </w:pPr>
    </w:p>
    <w:p>
      <w:pPr>
        <w:pStyle w:val="Heading2"/>
        <w:spacing w:after="80" w:before="280"/>
      </w:pPr>
      <w:r>
        <w:rPr>
          <w:rFonts w:ascii="Arial" w:cs="Arial" w:eastAsia="Arial" w:hAnsi="Arial"/>
          <w:b/>
          <w:bCs/>
          <w:color w:val="2C2C2C"/>
          <w:sz w:val="24"/>
          <w:szCs w:val="24"/>
        </w:rPr>
        <w:t xml:space="preserve">6.3 Krieger-Dougherty Slurry Viscosity</w:t>
      </w:r>
    </w:p>
    <w:p>
      <w:pPr>
        <w:spacing w:after="100" w:before="0"/>
      </w:pPr>
      <w:r>
        <w:rPr>
          <w:rFonts w:ascii="Arial" w:cs="Arial" w:eastAsia="Arial" w:hAnsi="Arial"/>
          <w:sz w:val="22"/>
          <w:szCs w:val="22"/>
        </w:rPr>
        <w:t xml:space="preserve">For solid-liquid suspensions, the apparent viscosity of the slurry exceeds that of the carrier fluid. The Krieger-Dougherty model is used:</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μ_sl = μ_L × (1 − φ / φ_max)^(−2.5 × φ_max)</w:t>
      </w:r>
    </w:p>
    <w:p>
      <w:pPr>
        <w:spacing w:after="100" w:before="0"/>
      </w:pPr>
      <w:r>
        <w:rPr>
          <w:rFonts w:ascii="Arial" w:cs="Arial" w:eastAsia="Arial" w:hAnsi="Arial"/>
          <w:sz w:val="22"/>
          <w:szCs w:val="22"/>
        </w:rPr>
        <w:t xml:space="preserve">where φ is the volume fraction of solids and φ_max = 0.63 (random close-packing). This corrected viscosity is used in Re and all Re-dependent calculations when the solid-liquid or 3-phase context is active.</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Krieger-Dougherty model is most accurate for dilute suspensions (φ &lt; 0.30) of approximately spherical, neutrally interacting particles. It becomes progressively less accurate at high φ or for non-spherical particles with strong inter-particle forces.</w:t>
      </w:r>
    </w:p>
    <w:p>
      <w:pPr>
        <w:spacing w:after="80" w:before="40"/>
        <w:ind w:left="360"/>
      </w:pPr>
      <w:r>
        <w:rPr>
          <w:rFonts w:ascii="Arial" w:cs="Arial" w:eastAsia="Arial" w:hAnsi="Arial"/>
          <w:i/>
          <w:iCs/>
          <w:color w:val="555555"/>
          <w:sz w:val="18"/>
          <w:szCs w:val="18"/>
        </w:rPr>
        <w:t xml:space="preserve">▶ Krieger, I.M., Dougherty, T.J. (1959). A mechanism for non-Newtonian flow in suspensions of rigid spheres. Transactions of the Society of Rheology, 3(1), 137–152.</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7. Scale-Up Criteria</w:t>
      </w:r>
    </w:p>
    <w:p>
      <w:pPr>
        <w:pStyle w:val="Heading2"/>
        <w:spacing w:after="80" w:before="280"/>
      </w:pPr>
      <w:r>
        <w:rPr>
          <w:rFonts w:ascii="Arial" w:cs="Arial" w:eastAsia="Arial" w:hAnsi="Arial"/>
          <w:b/>
          <w:bCs/>
          <w:color w:val="2C2C2C"/>
          <w:sz w:val="24"/>
          <w:szCs w:val="24"/>
        </w:rPr>
        <w:t xml:space="preserve">7.1 Overview and Selection Principles</w:t>
      </w:r>
    </w:p>
    <w:p>
      <w:pPr>
        <w:spacing w:after="100" w:before="0"/>
      </w:pPr>
      <w:r>
        <w:rPr>
          <w:rFonts w:ascii="Arial" w:cs="Arial" w:eastAsia="Arial" w:hAnsi="Arial"/>
          <w:sz w:val="22"/>
          <w:szCs w:val="22"/>
        </w:rPr>
        <w:t xml:space="preserve">A scale-up criterion is the single parameter held constant between small and large scale. The choice of criterion determines the agitator speed at the large scale and, by implication, which other parameters are allowed to change. No single criterion simultaneously preserves all mixing parameters. Table 7.1 summarizes the six criteria implemented in the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000"/>
      </w:tblGrid>
      <w:tr>
        <w:trPr>
          <w:tblHeader/>
        </w:trPr>
        <w:tc>
          <w:tcPr>
            <w:tcW w:type="dxa" w:w="16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4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Scale-up rule</w:t>
            </w:r>
          </w:p>
        </w:tc>
        <w:tc>
          <w:tcPr>
            <w:tcW w:type="dxa" w:w="24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Primary sacrifice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Equal P/V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N_L = N_S×(D_S/D_L)^(2/3)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Gas-liquid, reactions, bioreactors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Blend time worsens; tip speed increases</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Equal tip 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N_L = N_S×(D_S/D_L)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Shear-sensitive: cells, crystals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P/V drops significantly</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Equal 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N_L = N_S×(D_S/D_L)²</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Regime benchmarking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 typically impractically high</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Equal blend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N_L = N_S×(T_S/T_L)×(D_L/D_S)^(2/3)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 reactions, pH sensitivity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P/V and energy cost rise steeply</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Equal Njs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N_L = N_S×(D_S/D_L)^0.85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Solid suspension, dissolution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P/V and blend time both change</w:t>
            </w:r>
          </w:p>
        </w:tc>
      </w:tr>
      <w:tr>
        <w:tc>
          <w:tcPr>
            <w:tcW w:type="dxa" w:w="16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Equal Froude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N_L = N_S×(D_S/D_L)^0.5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Unbaffled, surface phenomena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Meaningful only without baffles</w:t>
            </w:r>
          </w:p>
        </w:tc>
      </w:tr>
    </w:tbl>
    <w:p>
      <w:pPr>
        <w:spacing w:after="120" w:before="0"/>
      </w:pPr>
    </w:p>
    <w:p>
      <w:pPr>
        <w:pStyle w:val="Heading2"/>
        <w:spacing w:after="80" w:before="280"/>
      </w:pPr>
      <w:r>
        <w:rPr>
          <w:rFonts w:ascii="Arial" w:cs="Arial" w:eastAsia="Arial" w:hAnsi="Arial"/>
          <w:b/>
          <w:bCs/>
          <w:color w:val="2C2C2C"/>
          <w:sz w:val="24"/>
          <w:szCs w:val="24"/>
        </w:rPr>
        <w:t xml:space="preserve">7.2 Geometric Similarity Requirements</w:t>
      </w:r>
    </w:p>
    <w:p>
      <w:pPr>
        <w:spacing w:after="100" w:before="0"/>
      </w:pPr>
      <w:r>
        <w:rPr>
          <w:rFonts w:ascii="Arial" w:cs="Arial" w:eastAsia="Arial" w:hAnsi="Arial"/>
          <w:sz w:val="22"/>
          <w:szCs w:val="22"/>
        </w:rPr>
        <w:t xml:space="preserve">The scale-up rules in Table 7.1 were derived under the assumption of geometric similarity. Specific requirements:</w:t>
      </w:r>
    </w:p>
    <w:p>
      <w:pPr>
        <w:pStyle w:val="ListParagraph"/>
        <w:numPr>
          <w:ilvl w:val="0"/>
          <w:numId w:val="2"/>
        </w:numPr>
        <w:spacing w:after="40" w:before="40"/>
      </w:pPr>
      <w:r>
        <w:rPr>
          <w:rFonts w:ascii="Arial" w:cs="Arial" w:eastAsia="Arial" w:hAnsi="Arial"/>
          <w:sz w:val="22"/>
          <w:szCs w:val="22"/>
        </w:rPr>
        <w:t xml:space="preserve">Equal Re: requires identical D/T and same fluid properties — almost never achievable at production scale.</w:t>
      </w:r>
    </w:p>
    <w:p>
      <w:pPr>
        <w:pStyle w:val="ListParagraph"/>
        <w:numPr>
          <w:ilvl w:val="0"/>
          <w:numId w:val="2"/>
        </w:numPr>
        <w:spacing w:after="40" w:before="40"/>
      </w:pPr>
      <w:r>
        <w:rPr>
          <w:rFonts w:ascii="Arial" w:cs="Arial" w:eastAsia="Arial" w:hAnsi="Arial"/>
          <w:sz w:val="22"/>
          <w:szCs w:val="22"/>
        </w:rPr>
        <w:t xml:space="preserve">Equal blend time: requires turbulent Re at both scales and matched D/T ratio. The tool locks this criterion when Re &lt; 10,000 at either scale.</w:t>
      </w:r>
    </w:p>
    <w:p>
      <w:pPr>
        <w:pStyle w:val="ListParagraph"/>
        <w:numPr>
          <w:ilvl w:val="0"/>
          <w:numId w:val="2"/>
        </w:numPr>
        <w:spacing w:after="40" w:before="40"/>
      </w:pPr>
      <w:r>
        <w:rPr>
          <w:rFonts w:ascii="Arial" w:cs="Arial" w:eastAsia="Arial" w:hAnsi="Arial"/>
          <w:sz w:val="22"/>
          <w:szCs w:val="22"/>
        </w:rPr>
        <w:t xml:space="preserve">Equal P/V: valid for turbulent flow and similar (not necessarily identical) D/T. Locked when geometric similarity score &lt; 60.</w:t>
      </w:r>
    </w:p>
    <w:p>
      <w:pPr>
        <w:pStyle w:val="ListParagraph"/>
        <w:numPr>
          <w:ilvl w:val="0"/>
          <w:numId w:val="2"/>
        </w:numPr>
        <w:spacing w:after="40" w:before="40"/>
      </w:pPr>
      <w:r>
        <w:rPr>
          <w:rFonts w:ascii="Arial" w:cs="Arial" w:eastAsia="Arial" w:hAnsi="Arial"/>
          <w:sz w:val="22"/>
          <w:szCs w:val="22"/>
        </w:rPr>
        <w:t xml:space="preserve">Equal tip speed and Njs: more tolerant of moderate geometric dissimilarity but still affected.</w:t>
      </w:r>
    </w:p>
    <w:p>
      <w:pPr>
        <w:spacing w:after="120" w:before="0"/>
      </w:pPr>
    </w:p>
    <w:p>
      <w:pPr>
        <w:pStyle w:val="Heading2"/>
        <w:spacing w:after="80" w:before="280"/>
      </w:pPr>
      <w:r>
        <w:rPr>
          <w:rFonts w:ascii="Arial" w:cs="Arial" w:eastAsia="Arial" w:hAnsi="Arial"/>
          <w:b/>
          <w:bCs/>
          <w:color w:val="2C2C2C"/>
          <w:sz w:val="24"/>
          <w:szCs w:val="24"/>
        </w:rPr>
        <w:t xml:space="preserve">7.3 Impeller Spacing (Multiple Impellers)</w:t>
      </w:r>
    </w:p>
    <w:p>
      <w:pPr>
        <w:spacing w:after="100" w:before="0"/>
      </w:pPr>
      <w:r>
        <w:rPr>
          <w:rFonts w:ascii="Arial" w:cs="Arial" w:eastAsia="Arial" w:hAnsi="Arial"/>
          <w:sz w:val="22"/>
          <w:szCs w:val="22"/>
        </w:rPr>
        <w:t xml:space="preserve">For N_i &gt; 1 impellers, the spacing S between adjacent impellers affects power and mixing:</w:t>
      </w:r>
    </w:p>
    <w:p>
      <w:pPr>
        <w:pStyle w:val="ListParagraph"/>
        <w:numPr>
          <w:ilvl w:val="0"/>
          <w:numId w:val="2"/>
        </w:numPr>
        <w:spacing w:after="40" w:before="40"/>
      </w:pPr>
      <w:r>
        <w:rPr>
          <w:rFonts w:ascii="Arial" w:cs="Arial" w:eastAsia="Arial" w:hAnsi="Arial"/>
          <w:sz w:val="22"/>
          <w:szCs w:val="22"/>
        </w:rPr>
        <w:t xml:space="preserve">S/D &lt; 0.8: impellers too close; interaction reduces total power and creates unfavorable flow; warning issued</w:t>
      </w:r>
    </w:p>
    <w:p>
      <w:pPr>
        <w:pStyle w:val="ListParagraph"/>
        <w:numPr>
          <w:ilvl w:val="0"/>
          <w:numId w:val="2"/>
        </w:numPr>
        <w:spacing w:after="40" w:before="40"/>
      </w:pPr>
      <w:r>
        <w:rPr>
          <w:rFonts w:ascii="Arial" w:cs="Arial" w:eastAsia="Arial" w:hAnsi="Arial"/>
          <w:sz w:val="22"/>
          <w:szCs w:val="22"/>
        </w:rPr>
        <w:t xml:space="preserve">S/D = 1.0–1.5: standard range for non-interacting operation; each impeller can be treated independently</w:t>
      </w:r>
    </w:p>
    <w:p>
      <w:pPr>
        <w:pStyle w:val="ListParagraph"/>
        <w:numPr>
          <w:ilvl w:val="0"/>
          <w:numId w:val="2"/>
        </w:numPr>
        <w:spacing w:after="40" w:before="40"/>
      </w:pPr>
      <w:r>
        <w:rPr>
          <w:rFonts w:ascii="Arial" w:cs="Arial" w:eastAsia="Arial" w:hAnsi="Arial"/>
          <w:sz w:val="22"/>
          <w:szCs w:val="22"/>
        </w:rPr>
        <w:t xml:space="preserve">S/D &gt; 3.0: large dead zones likely between impellers; additional impeller needed</w:t>
      </w:r>
    </w:p>
    <w:p>
      <w:pPr>
        <w:spacing w:after="100" w:before="0"/>
      </w:pPr>
      <w:r>
        <w:rPr>
          <w:rFonts w:ascii="Arial" w:cs="Arial" w:eastAsia="Arial" w:hAnsi="Arial"/>
          <w:sz w:val="22"/>
          <w:szCs w:val="22"/>
        </w:rPr>
        <w:t xml:space="preserve">Spacing is estimated as S ≈ H / (N_i − 1). The tool checks this ratio and issues a warning when outside the acceptable range.</w:t>
      </w:r>
    </w:p>
    <w:p>
      <w:pPr>
        <w:spacing w:after="80" w:before="40"/>
        <w:ind w:left="360"/>
      </w:pPr>
      <w:r>
        <w:rPr>
          <w:rFonts w:ascii="Arial" w:cs="Arial" w:eastAsia="Arial" w:hAnsi="Arial"/>
          <w:i/>
          <w:iCs/>
          <w:color w:val="555555"/>
          <w:sz w:val="18"/>
          <w:szCs w:val="18"/>
        </w:rPr>
        <w:t xml:space="preserve">▶ Paul et al. (2004). Handbook of Industrial Mixing, Ch. 7.</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8. Solid Particle Suspension</w:t>
      </w:r>
    </w:p>
    <w:p>
      <w:pPr>
        <w:pStyle w:val="Heading2"/>
        <w:spacing w:after="80" w:before="280"/>
      </w:pPr>
      <w:r>
        <w:rPr>
          <w:rFonts w:ascii="Arial" w:cs="Arial" w:eastAsia="Arial" w:hAnsi="Arial"/>
          <w:b/>
          <w:bCs/>
          <w:color w:val="2C2C2C"/>
          <w:sz w:val="24"/>
          <w:szCs w:val="24"/>
        </w:rPr>
        <w:t xml:space="preserve">8.1 Zwietering Just-Suspended Speed</w:t>
      </w:r>
    </w:p>
    <w:p>
      <w:pPr>
        <w:spacing w:after="100" w:before="0"/>
      </w:pPr>
      <w:r>
        <w:rPr>
          <w:rFonts w:ascii="Arial" w:cs="Arial" w:eastAsia="Arial" w:hAnsi="Arial"/>
          <w:sz w:val="22"/>
          <w:szCs w:val="22"/>
        </w:rPr>
        <w:t xml:space="preserve">The just-suspended speed Njs is the minimum agitator speed at which no particle rests stationary on the tank floor for more than 1–2 seconds (the ‘1s criterion’). The Zwietering (1958) correlation is the industry standard:</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N_js = S × ν^0.1 × [g × Δρ / ρ_L]^0.45 × d_p^0.2 × X^0.13 × D^(−0.85)</w:t>
      </w:r>
    </w:p>
    <w:p>
      <w:pPr>
        <w:spacing w:after="100" w:before="0"/>
      </w:pPr>
      <w:r>
        <w:rPr>
          <w:rFonts w:ascii="Arial" w:cs="Arial" w:eastAsia="Arial" w:hAnsi="Arial"/>
          <w:sz w:val="22"/>
          <w:szCs w:val="22"/>
        </w:rPr>
        <w:t xml:space="preserve">where:</w:t>
      </w:r>
    </w:p>
    <w:p>
      <w:pPr>
        <w:pStyle w:val="ListParagraph"/>
        <w:numPr>
          <w:ilvl w:val="0"/>
          <w:numId w:val="2"/>
        </w:numPr>
        <w:spacing w:after="40" w:before="40"/>
      </w:pPr>
      <w:r>
        <w:rPr>
          <w:rFonts w:ascii="Arial" w:cs="Arial" w:eastAsia="Arial" w:hAnsi="Arial"/>
          <w:sz w:val="22"/>
          <w:szCs w:val="22"/>
        </w:rPr>
        <w:t xml:space="preserve">ν = kinematic viscosity of carrier liquid (m²/s)</w:t>
      </w:r>
    </w:p>
    <w:p>
      <w:pPr>
        <w:pStyle w:val="ListParagraph"/>
        <w:numPr>
          <w:ilvl w:val="0"/>
          <w:numId w:val="2"/>
        </w:numPr>
        <w:spacing w:after="40" w:before="40"/>
      </w:pPr>
      <w:r>
        <w:rPr>
          <w:rFonts w:ascii="Arial" w:cs="Arial" w:eastAsia="Arial" w:hAnsi="Arial"/>
          <w:sz w:val="22"/>
          <w:szCs w:val="22"/>
        </w:rPr>
        <w:t xml:space="preserve">g = 9.81 m/s²</w:t>
      </w:r>
    </w:p>
    <w:p>
      <w:pPr>
        <w:pStyle w:val="ListParagraph"/>
        <w:numPr>
          <w:ilvl w:val="0"/>
          <w:numId w:val="2"/>
        </w:numPr>
        <w:spacing w:after="40" w:before="40"/>
      </w:pPr>
      <w:r>
        <w:rPr>
          <w:rFonts w:ascii="Arial" w:cs="Arial" w:eastAsia="Arial" w:hAnsi="Arial"/>
          <w:sz w:val="22"/>
          <w:szCs w:val="22"/>
        </w:rPr>
        <w:t xml:space="preserve">Δρ = ρ_p − ρ_L (density difference, kg/m³)</w:t>
      </w:r>
    </w:p>
    <w:p>
      <w:pPr>
        <w:pStyle w:val="ListParagraph"/>
        <w:numPr>
          <w:ilvl w:val="0"/>
          <w:numId w:val="2"/>
        </w:numPr>
        <w:spacing w:after="40" w:before="40"/>
      </w:pPr>
      <w:r>
        <w:rPr>
          <w:rFonts w:ascii="Arial" w:cs="Arial" w:eastAsia="Arial" w:hAnsi="Arial"/>
          <w:sz w:val="22"/>
          <w:szCs w:val="22"/>
        </w:rPr>
        <w:t xml:space="preserve">d_p = particle diameter (m)</w:t>
      </w:r>
    </w:p>
    <w:p>
      <w:pPr>
        <w:pStyle w:val="ListParagraph"/>
        <w:numPr>
          <w:ilvl w:val="0"/>
          <w:numId w:val="2"/>
        </w:numPr>
        <w:spacing w:after="40" w:before="40"/>
      </w:pPr>
      <w:r>
        <w:rPr>
          <w:rFonts w:ascii="Arial" w:cs="Arial" w:eastAsia="Arial" w:hAnsi="Arial"/>
          <w:sz w:val="22"/>
          <w:szCs w:val="22"/>
        </w:rPr>
        <w:t xml:space="preserve">X = solids loading (kg solids per 100 kg liquid, wt%)</w:t>
      </w:r>
    </w:p>
    <w:p>
      <w:pPr>
        <w:pStyle w:val="ListParagraph"/>
        <w:numPr>
          <w:ilvl w:val="0"/>
          <w:numId w:val="2"/>
        </w:numPr>
        <w:spacing w:after="40" w:before="40"/>
      </w:pPr>
      <w:r>
        <w:rPr>
          <w:rFonts w:ascii="Arial" w:cs="Arial" w:eastAsia="Arial" w:hAnsi="Arial"/>
          <w:sz w:val="22"/>
          <w:szCs w:val="22"/>
        </w:rPr>
        <w:t xml:space="preserve">S = Zwietering shape factor (dimensionless)</w:t>
      </w:r>
    </w:p>
    <w:p>
      <w:pPr>
        <w:spacing w:after="100" w:before="0"/>
      </w:pPr>
      <w:r>
        <w:rPr>
          <w:rFonts w:ascii="Arial" w:cs="Arial" w:eastAsia="Arial" w:hAnsi="Arial"/>
          <w:sz w:val="22"/>
          <w:szCs w:val="22"/>
        </w:rPr>
        <w:t xml:space="preserve">The shape factor S depends on impeller type, D/T, and the off-bottom clearance ratio C/D. The tool estimates S as a function of C/D:</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S ≈ 5.9 × (C/D)^0.3        [clamped to 4.0 – 13.0]</w:t>
      </w:r>
    </w:p>
    <w:p>
      <w:pPr>
        <w:spacing w:after="100" w:before="0"/>
      </w:pPr>
      <w:r>
        <w:rPr>
          <w:rFonts w:ascii="Arial" w:cs="Arial" w:eastAsia="Arial" w:hAnsi="Arial"/>
          <w:sz w:val="22"/>
          <w:szCs w:val="22"/>
        </w:rPr>
        <w:t xml:space="preserve">This approximation captures the strong sensitivity of Njs to impeller clearance: higher C requires higher speed to draw particles off the floor. The Zwietering scale-up rule derived from this correlation is: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N_js,L = N_js,S × (D_S / D_L)^0.85</w:t>
      </w:r>
      <w:r>
        <w:rPr>
          <w:rFonts w:ascii="Arial" w:cs="Arial" w:eastAsia="Arial" w:hAnsi="Arial"/>
          <w:i/>
          <w:iCs/>
          <w:color w:val="666666"/>
          <w:sz w:val="20"/>
          <w:szCs w:val="20"/>
        </w:rPr>
        <w:t xml:space="preserve">   (equal Njs scale-up rule)</w:t>
      </w:r>
    </w:p>
    <w:p>
      <w:pPr>
        <w:spacing w:after="100" w:before="0"/>
      </w:pPr>
      <w:r>
        <w:rPr>
          <w:rFonts w:ascii="Arial" w:cs="Arial" w:eastAsia="Arial" w:hAnsi="Arial"/>
          <w:sz w:val="22"/>
          <w:szCs w:val="22"/>
        </w:rPr>
        <w:t xml:space="preserve">Validity constraints:</w:t>
      </w:r>
    </w:p>
    <w:p>
      <w:pPr>
        <w:pStyle w:val="ListParagraph"/>
        <w:numPr>
          <w:ilvl w:val="0"/>
          <w:numId w:val="2"/>
        </w:numPr>
        <w:spacing w:after="40" w:before="40"/>
      </w:pPr>
      <w:r>
        <w:rPr>
          <w:rFonts w:ascii="Arial" w:cs="Arial" w:eastAsia="Arial" w:hAnsi="Arial"/>
          <w:sz w:val="22"/>
          <w:szCs w:val="22"/>
        </w:rPr>
        <w:t xml:space="preserve">Flat-bottomed tank (correction factors exist for dished bottoms but are not implemented)</w:t>
      </w:r>
    </w:p>
    <w:p>
      <w:pPr>
        <w:pStyle w:val="ListParagraph"/>
        <w:numPr>
          <w:ilvl w:val="0"/>
          <w:numId w:val="2"/>
        </w:numPr>
        <w:spacing w:after="40" w:before="40"/>
      </w:pPr>
      <w:r>
        <w:rPr>
          <w:rFonts w:ascii="Arial" w:cs="Arial" w:eastAsia="Arial" w:hAnsi="Arial"/>
          <w:sz w:val="22"/>
          <w:szCs w:val="22"/>
        </w:rPr>
        <w:t xml:space="preserve">Standard baffled configuration</w:t>
      </w:r>
    </w:p>
    <w:p>
      <w:pPr>
        <w:pStyle w:val="ListParagraph"/>
        <w:numPr>
          <w:ilvl w:val="0"/>
          <w:numId w:val="2"/>
        </w:numPr>
        <w:spacing w:after="40" w:before="40"/>
      </w:pPr>
      <w:r>
        <w:rPr>
          <w:rFonts w:ascii="Arial" w:cs="Arial" w:eastAsia="Arial" w:hAnsi="Arial"/>
          <w:sz w:val="22"/>
          <w:szCs w:val="22"/>
        </w:rPr>
        <w:t xml:space="preserve">D/T = 0.20–0.50</w:t>
      </w:r>
    </w:p>
    <w:p>
      <w:pPr>
        <w:pStyle w:val="ListParagraph"/>
        <w:numPr>
          <w:ilvl w:val="0"/>
          <w:numId w:val="2"/>
        </w:numPr>
        <w:spacing w:after="40" w:before="40"/>
      </w:pPr>
      <w:r>
        <w:rPr>
          <w:rFonts w:ascii="Arial" w:cs="Arial" w:eastAsia="Arial" w:hAnsi="Arial"/>
          <w:sz w:val="22"/>
          <w:szCs w:val="22"/>
        </w:rPr>
        <w:t xml:space="preserve">Dilute to moderate solids loading (X &lt; 20 wt% for best accuracy)</w:t>
      </w:r>
    </w:p>
    <w:p>
      <w:pPr>
        <w:pStyle w:val="ListParagraph"/>
        <w:numPr>
          <w:ilvl w:val="0"/>
          <w:numId w:val="2"/>
        </w:numPr>
        <w:spacing w:after="40" w:before="40"/>
      </w:pPr>
      <w:r>
        <w:rPr>
          <w:rFonts w:ascii="Arial" w:cs="Arial" w:eastAsia="Arial" w:hAnsi="Arial"/>
          <w:sz w:val="22"/>
          <w:szCs w:val="22"/>
        </w:rPr>
        <w:t xml:space="preserve">Newtonian carrier fluid (non-Newtonian modifies S)</w:t>
      </w:r>
    </w:p>
    <w:p>
      <w:pPr>
        <w:pStyle w:val="ListParagraph"/>
        <w:numPr>
          <w:ilvl w:val="0"/>
          <w:numId w:val="2"/>
        </w:numPr>
        <w:spacing w:after="40" w:before="40"/>
      </w:pPr>
      <w:r>
        <w:rPr>
          <w:rFonts w:ascii="Arial" w:cs="Arial" w:eastAsia="Arial" w:hAnsi="Arial"/>
          <w:sz w:val="22"/>
          <w:szCs w:val="22"/>
        </w:rPr>
        <w:t xml:space="preserve">Particles that are denser than the fluid (Δρ &gt; 0)</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Zwietering correlation underestimates Njs for high solids loading (X &gt; 20 wt%) where slurry rheology becomes non-Newtonian, and for elongated or highly irregular particles. It also assumes particles are uniformly distributed when just suspended; local concentrations near the impeller may still be significantly higher.</w:t>
      </w:r>
    </w:p>
    <w:p>
      <w:pPr>
        <w:spacing w:after="80" w:before="40"/>
        <w:ind w:left="360"/>
      </w:pPr>
      <w:r>
        <w:rPr>
          <w:rFonts w:ascii="Arial" w:cs="Arial" w:eastAsia="Arial" w:hAnsi="Arial"/>
          <w:i/>
          <w:iCs/>
          <w:color w:val="555555"/>
          <w:sz w:val="18"/>
          <w:szCs w:val="18"/>
        </w:rPr>
        <w:t xml:space="preserve">▶ Zwietering, T.N. (1958). Suspending of solid particles in liquid by agitators. Chemical Engineering Science, 8(3–4), 244–253.</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9. Gas-Liquid Systems</w:t>
      </w:r>
    </w:p>
    <w:p>
      <w:pPr>
        <w:pStyle w:val="Heading2"/>
        <w:spacing w:after="80" w:before="280"/>
      </w:pPr>
      <w:r>
        <w:rPr>
          <w:rFonts w:ascii="Arial" w:cs="Arial" w:eastAsia="Arial" w:hAnsi="Arial"/>
          <w:b/>
          <w:bCs/>
          <w:color w:val="2C2C2C"/>
          <w:sz w:val="24"/>
          <w:szCs w:val="24"/>
        </w:rPr>
        <w:t xml:space="preserve">9.1 Gassed Power (Michel-Miller Correlation)</w:t>
      </w:r>
    </w:p>
    <w:p>
      <w:pPr>
        <w:spacing w:after="100" w:before="0"/>
      </w:pPr>
      <w:r>
        <w:rPr>
          <w:rFonts w:ascii="Arial" w:cs="Arial" w:eastAsia="Arial" w:hAnsi="Arial"/>
          <w:sz w:val="22"/>
          <w:szCs w:val="22"/>
        </w:rPr>
        <w:t xml:space="preserve">When gas is sparged into an agitated vessel, gas hold-up reduces the apparent fluid density around the impeller. Gassed shaft power P_g is substantially lower than ungassed power P_0:</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P_g / P_0 ≈ 0.56 × (P_0² × N × D³ / Q_g^0.56)^0.08</w:t>
      </w:r>
    </w:p>
    <w:p>
      <w:pPr>
        <w:spacing w:after="100" w:before="0"/>
      </w:pPr>
      <w:r>
        <w:rPr>
          <w:rFonts w:ascii="Arial" w:cs="Arial" w:eastAsia="Arial" w:hAnsi="Arial"/>
          <w:sz w:val="22"/>
          <w:szCs w:val="22"/>
        </w:rPr>
        <w:t xml:space="preserve">In the loading regime (below flooding), P_g / P_0 typically falls in the range 0.4–0.7. In the tool, gassed P/V is used in the k_La correlation rather than ungassed P/V.</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Michel-Miller correlation was derived for Rushton turbines and provides approximate values (±30%) for other radial-flow impellers. Axial-flow impellers show less power reduction under gassing. The simplified expression in the tool uses the ungassed P with a correction factor that transitions from ~0.9 (light loading) to ~0.35 (near flood).</w:t>
      </w:r>
    </w:p>
    <w:p>
      <w:pPr>
        <w:spacing w:after="80" w:before="40"/>
        <w:ind w:left="360"/>
      </w:pPr>
      <w:r>
        <w:rPr>
          <w:rFonts w:ascii="Arial" w:cs="Arial" w:eastAsia="Arial" w:hAnsi="Arial"/>
          <w:i/>
          <w:iCs/>
          <w:color w:val="555555"/>
          <w:sz w:val="18"/>
          <w:szCs w:val="18"/>
        </w:rPr>
        <w:t xml:space="preserve">▶ Michel, B.J., Miller, S.A. (1962). Power requirements of gas-liquid agitated systems. AIChE Journal, 8(2), 262–266.</w:t>
      </w:r>
    </w:p>
    <w:p>
      <w:pPr>
        <w:spacing w:after="120" w:before="0"/>
      </w:pPr>
    </w:p>
    <w:p>
      <w:pPr>
        <w:pStyle w:val="Heading2"/>
        <w:spacing w:after="80" w:before="280"/>
      </w:pPr>
      <w:r>
        <w:rPr>
          <w:rFonts w:ascii="Arial" w:cs="Arial" w:eastAsia="Arial" w:hAnsi="Arial"/>
          <w:b/>
          <w:bCs/>
          <w:color w:val="2C2C2C"/>
          <w:sz w:val="24"/>
          <w:szCs w:val="24"/>
        </w:rPr>
        <w:t xml:space="preserve">9.2 Oxygen Mass Transfer Coefficient (van’t Riet Correlation)</w:t>
      </w:r>
    </w:p>
    <w:p>
      <w:pPr>
        <w:spacing w:after="100" w:before="0"/>
      </w:pPr>
      <w:r>
        <w:rPr>
          <w:rFonts w:ascii="Arial" w:cs="Arial" w:eastAsia="Arial" w:hAnsi="Arial"/>
          <w:sz w:val="22"/>
          <w:szCs w:val="22"/>
        </w:rPr>
        <w:t xml:space="preserve">The volumetric oxygen mass transfer coefficient k_La (h⁻¹) is estimated using the van’t Riet (1979) correlation for coalescent (water-like) media:</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k_La = 0.026 × (P/V)^0.4 × u_s^0.5</w:t>
      </w:r>
    </w:p>
    <w:p>
      <w:pPr>
        <w:spacing w:after="100" w:before="0"/>
      </w:pPr>
      <w:r>
        <w:rPr>
          <w:rFonts w:ascii="Arial" w:cs="Arial" w:eastAsia="Arial" w:hAnsi="Arial"/>
          <w:sz w:val="22"/>
          <w:szCs w:val="22"/>
        </w:rPr>
        <w:t xml:space="preserve">where P/V is the gassed power per unit volume (W/m³) and u_s is the superficial gas velocity (m/s):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u_s = Q_g / A_tank = Q_g / (π/4 × T²)</w:t>
      </w:r>
    </w:p>
    <w:p>
      <w:pPr>
        <w:spacing w:after="100" w:before="0"/>
      </w:pPr>
      <w:r>
        <w:rPr>
          <w:rFonts w:ascii="Arial" w:cs="Arial" w:eastAsia="Arial" w:hAnsi="Arial"/>
          <w:sz w:val="22"/>
          <w:szCs w:val="22"/>
        </w:rPr>
        <w:t xml:space="preserve">The oxygen transfer rate (OTR) achievable in the vessel is: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OTR_max = k_La × C*</w:t>
      </w:r>
    </w:p>
    <w:p>
      <w:pPr>
        <w:spacing w:after="100" w:before="0"/>
      </w:pPr>
      <w:r>
        <w:rPr>
          <w:rFonts w:ascii="Arial" w:cs="Arial" w:eastAsia="Arial" w:hAnsi="Arial"/>
          <w:sz w:val="22"/>
          <w:szCs w:val="22"/>
        </w:rPr>
        <w:t xml:space="preserve">where C* ≈ 0.21 mmol/L is the dissolved oxygen saturation concentration at 37°C, 1 atm in air-water systems. This is compared against the user-specified O₂ demand (mmol/L/h).</w:t>
      </w:r>
    </w:p>
    <w:p>
      <w:pPr>
        <w:spacing w:after="100" w:before="0"/>
      </w:pPr>
      <w:r>
        <w:rPr>
          <w:rFonts w:ascii="Arial" w:cs="Arial" w:eastAsia="Arial" w:hAnsi="Arial"/>
          <w:sz w:val="22"/>
          <w:szCs w:val="22"/>
        </w:rPr>
        <w:t xml:space="preserve">Validity constraints:</w:t>
      </w:r>
    </w:p>
    <w:p>
      <w:pPr>
        <w:pStyle w:val="ListParagraph"/>
        <w:numPr>
          <w:ilvl w:val="0"/>
          <w:numId w:val="2"/>
        </w:numPr>
        <w:spacing w:after="40" w:before="40"/>
      </w:pPr>
      <w:r>
        <w:rPr>
          <w:rFonts w:ascii="Arial" w:cs="Arial" w:eastAsia="Arial" w:hAnsi="Arial"/>
          <w:sz w:val="22"/>
          <w:szCs w:val="22"/>
        </w:rPr>
        <w:t xml:space="preserve">Coalescent media (water-like); for non-coalescent (ionic) media, C = 0.002, a = 0.7, b = 0.2</w:t>
      </w:r>
    </w:p>
    <w:p>
      <w:pPr>
        <w:pStyle w:val="ListParagraph"/>
        <w:numPr>
          <w:ilvl w:val="0"/>
          <w:numId w:val="2"/>
        </w:numPr>
        <w:spacing w:after="40" w:before="40"/>
      </w:pPr>
      <w:r>
        <w:rPr>
          <w:rFonts w:ascii="Arial" w:cs="Arial" w:eastAsia="Arial" w:hAnsi="Arial"/>
          <w:sz w:val="22"/>
          <w:szCs w:val="22"/>
        </w:rPr>
        <w:t xml:space="preserve">Rushton turbines and similar radial-flow impellers</w:t>
      </w:r>
    </w:p>
    <w:p>
      <w:pPr>
        <w:pStyle w:val="ListParagraph"/>
        <w:numPr>
          <w:ilvl w:val="0"/>
          <w:numId w:val="2"/>
        </w:numPr>
        <w:spacing w:after="40" w:before="40"/>
      </w:pPr>
      <w:r>
        <w:rPr>
          <w:rFonts w:ascii="Arial" w:cs="Arial" w:eastAsia="Arial" w:hAnsi="Arial"/>
          <w:sz w:val="22"/>
          <w:szCs w:val="22"/>
        </w:rPr>
        <w:t xml:space="preserve">0.5 ≤ vvm ≤ 5, typical bioreactor ranges</w:t>
      </w:r>
    </w:p>
    <w:p>
      <w:pPr>
        <w:pStyle w:val="ListParagraph"/>
        <w:numPr>
          <w:ilvl w:val="0"/>
          <w:numId w:val="2"/>
        </w:numPr>
        <w:spacing w:after="40" w:before="40"/>
      </w:pPr>
      <w:r>
        <w:rPr>
          <w:rFonts w:ascii="Arial" w:cs="Arial" w:eastAsia="Arial" w:hAnsi="Arial"/>
          <w:sz w:val="22"/>
          <w:szCs w:val="22"/>
        </w:rPr>
        <w:t xml:space="preserve">P/V = 100–5,000 W/m³</w:t>
      </w:r>
    </w:p>
    <w:p>
      <w:pPr>
        <w:pStyle w:val="ListParagraph"/>
        <w:numPr>
          <w:ilvl w:val="0"/>
          <w:numId w:val="2"/>
        </w:numPr>
        <w:spacing w:after="40" w:before="40"/>
      </w:pPr>
      <w:r>
        <w:rPr>
          <w:rFonts w:ascii="Arial" w:cs="Arial" w:eastAsia="Arial" w:hAnsi="Arial"/>
          <w:sz w:val="22"/>
          <w:szCs w:val="22"/>
        </w:rPr>
        <w:t xml:space="preserve">Accuracy: ±50% should be expected</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van’t Riet correlation does not account for foam, antifoam addition, high cell density, CO₂ stripping, or elevated pressure. For oxygen-limited fermentations with high biomass, k_La should be measured directly at relevant conditions.</w:t>
      </w:r>
    </w:p>
    <w:p>
      <w:pPr>
        <w:spacing w:after="80" w:before="40"/>
        <w:ind w:left="360"/>
      </w:pPr>
      <w:r>
        <w:rPr>
          <w:rFonts w:ascii="Arial" w:cs="Arial" w:eastAsia="Arial" w:hAnsi="Arial"/>
          <w:i/>
          <w:iCs/>
          <w:color w:val="555555"/>
          <w:sz w:val="18"/>
          <w:szCs w:val="18"/>
        </w:rPr>
        <w:t xml:space="preserve">▶ van’t Riet, K. (1979). Review of measuring methods and results in nonviscous gas-liquid mass transfer in stirred vessels. Industrial &amp; Engineering Chemistry Process Design and Development, 18(3), 357–364.</w:t>
      </w:r>
    </w:p>
    <w:p>
      <w:pPr>
        <w:spacing w:after="80" w:before="40"/>
        <w:ind w:left="360"/>
      </w:pPr>
      <w:r>
        <w:rPr>
          <w:rFonts w:ascii="Arial" w:cs="Arial" w:eastAsia="Arial" w:hAnsi="Arial"/>
          <w:i/>
          <w:iCs/>
          <w:color w:val="555555"/>
          <w:sz w:val="18"/>
          <w:szCs w:val="18"/>
        </w:rPr>
        <w:t xml:space="preserve">▶ Garcia-Ochoa, F., Gomez, E. (2009). Bioreactor scale-up and oxygen transfer rate in microbial processes. Biotechnology Advances, 27(2), 153–176.</w:t>
      </w:r>
    </w:p>
    <w:p>
      <w:pPr>
        <w:spacing w:after="120" w:before="0"/>
      </w:pPr>
    </w:p>
    <w:p>
      <w:pPr>
        <w:pStyle w:val="Heading2"/>
        <w:spacing w:after="80" w:before="280"/>
      </w:pPr>
      <w:r>
        <w:rPr>
          <w:rFonts w:ascii="Arial" w:cs="Arial" w:eastAsia="Arial" w:hAnsi="Arial"/>
          <w:b/>
          <w:bCs/>
          <w:color w:val="2C2C2C"/>
          <w:sz w:val="24"/>
          <w:szCs w:val="24"/>
        </w:rPr>
        <w:t xml:space="preserve">9.3 Impeller Flooding</w:t>
      </w:r>
    </w:p>
    <w:p>
      <w:pPr>
        <w:spacing w:after="100" w:before="0"/>
      </w:pPr>
      <w:r>
        <w:rPr>
          <w:rFonts w:ascii="Arial" w:cs="Arial" w:eastAsia="Arial" w:hAnsi="Arial"/>
          <w:sz w:val="22"/>
          <w:szCs w:val="22"/>
        </w:rPr>
        <w:t xml:space="preserve">Flooding occurs when the gas flow rate overwhelms the impeller pumping capacity, causing gas to short-circuit directly to the surface rather than being dispersed by the impeller. The flooding criterion (Nienow, 1996) uses the gas flow number Fl_g:</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Fl_g = Q_g / (N × D³)</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Flooding when: Fl_g &gt; C_D × (D/T)^3.5 × Fr</w:t>
      </w:r>
    </w:p>
    <w:p>
      <w:pPr>
        <w:spacing w:after="100" w:before="0"/>
      </w:pPr>
      <w:r>
        <w:rPr>
          <w:rFonts w:ascii="Arial" w:cs="Arial" w:eastAsia="Arial" w:hAnsi="Arial"/>
          <w:sz w:val="22"/>
          <w:szCs w:val="22"/>
        </w:rPr>
        <w:t xml:space="preserve">Rearranging to find the flooding speed N_flood:</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N_flood = [Q_g × g / (C_D × (D/T)^3.5 × D⁴)]^(1/3)</w:t>
      </w:r>
    </w:p>
    <w:p>
      <w:pPr>
        <w:spacing w:after="100" w:before="0"/>
      </w:pPr>
      <w:r>
        <w:rPr>
          <w:rFonts w:ascii="Arial" w:cs="Arial" w:eastAsia="Arial" w:hAnsi="Arial"/>
          <w:sz w:val="22"/>
          <w:szCs w:val="22"/>
        </w:rPr>
        <w:t xml:space="preserve">where C_D is an impeller-specific flooding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Impeller type</w:t>
            </w:r>
          </w:p>
        </w:tc>
        <w:tc>
          <w:tcPr>
            <w:tcW w:type="dxa" w:w="4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C_D</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Rushton disk turbine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Pitched-blade turbine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25</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Hydrofoil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Marine propeller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r>
      <w:tr>
        <w:tc>
          <w:tcPr>
            <w:tcW w:type="dxa" w:w="5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Anchor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r>
    </w:tbl>
    <w:p>
      <w:pPr>
        <w:spacing w:after="100" w:before="0"/>
      </w:pPr>
      <w:r>
        <w:rPr>
          <w:rFonts w:ascii="Arial" w:cs="Arial" w:eastAsia="Arial" w:hAnsi="Arial"/>
          <w:sz w:val="22"/>
          <w:szCs w:val="22"/>
        </w:rPr>
        <w:t xml:space="preserve">The loading/flooding transition occurs at approximately 0.7×N_flood. Below N_flood: gas is dispersed (loading regime). Above N_flood: gas floods the impeller and dispersion collapses. The tool issues an error warning when N &gt; N_flood.</w:t>
      </w:r>
    </w:p>
    <w:p>
      <w:pPr>
        <w:spacing w:after="80" w:before="40"/>
        <w:ind w:left="360"/>
      </w:pPr>
      <w:r>
        <w:rPr>
          <w:rFonts w:ascii="Arial" w:cs="Arial" w:eastAsia="Arial" w:hAnsi="Arial"/>
          <w:i/>
          <w:iCs/>
          <w:color w:val="555555"/>
          <w:sz w:val="18"/>
          <w:szCs w:val="18"/>
        </w:rPr>
        <w:t xml:space="preserve">▶ Nienow, A.W. (1996). Gas-liquid mixing studies: A comparison of Rushton turbines with some modern impellers. Chemical Engineering Research and Design, 74(A4), 417–423.</w:t>
      </w:r>
    </w:p>
    <w:p>
      <w:pPr>
        <w:spacing w:after="120" w:before="0"/>
      </w:pPr>
    </w:p>
    <w:p>
      <w:pPr>
        <w:pStyle w:val="Heading2"/>
        <w:spacing w:after="80" w:before="280"/>
      </w:pPr>
      <w:r>
        <w:rPr>
          <w:rFonts w:ascii="Arial" w:cs="Arial" w:eastAsia="Arial" w:hAnsi="Arial"/>
          <w:b/>
          <w:bCs/>
          <w:color w:val="2C2C2C"/>
          <w:sz w:val="24"/>
          <w:szCs w:val="24"/>
        </w:rPr>
        <w:t xml:space="preserve">9.4 Three-Phase Feasibility Window</w:t>
      </w:r>
    </w:p>
    <w:p>
      <w:pPr>
        <w:spacing w:after="100" w:before="0"/>
      </w:pPr>
      <w:r>
        <w:rPr>
          <w:rFonts w:ascii="Arial" w:cs="Arial" w:eastAsia="Arial" w:hAnsi="Arial"/>
          <w:sz w:val="22"/>
          <w:szCs w:val="22"/>
        </w:rPr>
        <w:t xml:space="preserve">For processes involving simultaneous gas dispersion and solid suspension (three-phase systems), the operating constraints conflict: increasing N improves suspension (N ≥ Njs) but risks flooding (N ≤ N_flood). The feasible operating window is the range of N satisfying all three conditions simultaneously: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N_js ≤ N ≤ N_flood     and     OTR(N) ≥ OTR_demand</w:t>
      </w:r>
    </w:p>
    <w:p>
      <w:pPr>
        <w:spacing w:after="100" w:before="0"/>
      </w:pPr>
      <w:r>
        <w:rPr>
          <w:rFonts w:ascii="Arial" w:cs="Arial" w:eastAsia="Arial" w:hAnsi="Arial"/>
          <w:sz w:val="22"/>
          <w:szCs w:val="22"/>
        </w:rPr>
        <w:t xml:space="preserve">The tool sweeps N over the operating range and maps feasibility for each scale independently. When no feasible window exists, it reports which constraint is the binding one and suggests geometry changes:</w:t>
      </w:r>
    </w:p>
    <w:p>
      <w:pPr>
        <w:pStyle w:val="ListParagraph"/>
        <w:numPr>
          <w:ilvl w:val="0"/>
          <w:numId w:val="2"/>
        </w:numPr>
        <w:spacing w:after="40" w:before="40"/>
      </w:pPr>
      <w:r>
        <w:rPr>
          <w:rFonts w:ascii="Arial" w:cs="Arial" w:eastAsia="Arial" w:hAnsi="Arial"/>
          <w:sz w:val="22"/>
          <w:szCs w:val="22"/>
        </w:rPr>
        <w:t xml:space="preserve">Increase D/T: reduces N_flood-to-Njs gap by lowering both, but Njs drops faster</w:t>
      </w:r>
    </w:p>
    <w:p>
      <w:pPr>
        <w:pStyle w:val="ListParagraph"/>
        <w:numPr>
          <w:ilvl w:val="0"/>
          <w:numId w:val="2"/>
        </w:numPr>
        <w:spacing w:after="40" w:before="40"/>
      </w:pPr>
      <w:r>
        <w:rPr>
          <w:rFonts w:ascii="Arial" w:cs="Arial" w:eastAsia="Arial" w:hAnsi="Arial"/>
          <w:sz w:val="22"/>
          <w:szCs w:val="22"/>
        </w:rPr>
        <w:t xml:space="preserve">Use more impellers at lower N: each impeller sees less gas load, shifting N_flood upward</w:t>
      </w:r>
    </w:p>
    <w:p>
      <w:pPr>
        <w:pStyle w:val="ListParagraph"/>
        <w:numPr>
          <w:ilvl w:val="0"/>
          <w:numId w:val="2"/>
        </w:numPr>
        <w:spacing w:after="40" w:before="40"/>
      </w:pPr>
      <w:r>
        <w:rPr>
          <w:rFonts w:ascii="Arial" w:cs="Arial" w:eastAsia="Arial" w:hAnsi="Arial"/>
          <w:sz w:val="22"/>
          <w:szCs w:val="22"/>
        </w:rPr>
        <w:t xml:space="preserve">Reduce gas rate (vvm): raises N_flood, widens window from above</w:t>
      </w:r>
    </w:p>
    <w:p>
      <w:pPr>
        <w:pStyle w:val="ListParagraph"/>
        <w:numPr>
          <w:ilvl w:val="0"/>
          <w:numId w:val="2"/>
        </w:numPr>
        <w:spacing w:after="40" w:before="40"/>
      </w:pPr>
      <w:r>
        <w:rPr>
          <w:rFonts w:ascii="Arial" w:cs="Arial" w:eastAsia="Arial" w:hAnsi="Arial"/>
          <w:sz w:val="22"/>
          <w:szCs w:val="22"/>
        </w:rPr>
        <w:t xml:space="preserve">Use Rushton over pitched-blade: higher C_D raises N_flood</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10. Heat Transfer</w:t>
      </w:r>
    </w:p>
    <w:p>
      <w:pPr>
        <w:pStyle w:val="Heading2"/>
        <w:spacing w:after="80" w:before="280"/>
      </w:pPr>
      <w:r>
        <w:rPr>
          <w:rFonts w:ascii="Arial" w:cs="Arial" w:eastAsia="Arial" w:hAnsi="Arial"/>
          <w:b/>
          <w:bCs/>
          <w:color w:val="2C2C2C"/>
          <w:sz w:val="24"/>
          <w:szCs w:val="24"/>
        </w:rPr>
        <w:t xml:space="preserve">10.1 The Scale-Up Challenge</w:t>
      </w:r>
    </w:p>
    <w:p>
      <w:pPr>
        <w:spacing w:after="100" w:before="0"/>
      </w:pPr>
      <w:r>
        <w:rPr>
          <w:rFonts w:ascii="Arial" w:cs="Arial" w:eastAsia="Arial" w:hAnsi="Arial"/>
          <w:sz w:val="22"/>
          <w:szCs w:val="22"/>
        </w:rPr>
        <w:t xml:space="preserve">Heat generation in a reacting vessel scales with volume (∝ T³), while the primary heat removal surfaces (jacket, coils) scale with area (∝ T²). This means that available cooling area per unit volume shrinks monotonically on scale-up:</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(A/V)_large / (A/V)_small = (T_S / T_L)</w:t>
      </w:r>
    </w:p>
    <w:p>
      <w:pPr>
        <w:spacing w:after="100" w:before="0"/>
      </w:pPr>
      <w:r>
        <w:rPr>
          <w:rFonts w:ascii="Arial" w:cs="Arial" w:eastAsia="Arial" w:hAnsi="Arial"/>
          <w:sz w:val="22"/>
          <w:szCs w:val="22"/>
        </w:rPr>
        <w:t xml:space="preserve">For a 10× volume scale-up (T scale factor ≈ 2.15), the jacket area-to-volume ratio is approximately 47% of the small-scale value. Additional internal coils are the primary mitigation strategy.</w:t>
      </w:r>
    </w:p>
    <w:p>
      <w:pPr>
        <w:spacing w:after="120" w:before="0"/>
      </w:pPr>
    </w:p>
    <w:p>
      <w:pPr>
        <w:pStyle w:val="Heading2"/>
        <w:spacing w:after="80" w:before="280"/>
      </w:pPr>
      <w:r>
        <w:rPr>
          <w:rFonts w:ascii="Arial" w:cs="Arial" w:eastAsia="Arial" w:hAnsi="Arial"/>
          <w:b/>
          <w:bCs/>
          <w:color w:val="2C2C2C"/>
          <w:sz w:val="24"/>
          <w:szCs w:val="24"/>
        </w:rPr>
        <w:t xml:space="preserve">10.2 Heat Balance</w:t>
      </w:r>
    </w:p>
    <w:p>
      <w:pPr>
        <w:spacing w:after="100" w:before="0"/>
      </w:pPr>
      <w:r>
        <w:rPr>
          <w:rFonts w:ascii="Arial" w:cs="Arial" w:eastAsia="Arial" w:hAnsi="Arial"/>
          <w:sz w:val="22"/>
          <w:szCs w:val="22"/>
        </w:rPr>
        <w:t xml:space="preserve">The total heat load on the vessel is: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Q_total = Q_rxn + P_shaft = q_rxn × V_eff + P</w:t>
      </w:r>
    </w:p>
    <w:p>
      <w:pPr>
        <w:spacing w:after="100" w:before="0"/>
      </w:pPr>
      <w:r>
        <w:rPr>
          <w:rFonts w:ascii="Arial" w:cs="Arial" w:eastAsia="Arial" w:hAnsi="Arial"/>
          <w:sz w:val="22"/>
          <w:szCs w:val="22"/>
        </w:rPr>
        <w:t xml:space="preserve">where q_rxn is the volumetric heat generation rate (W/L) from the reaction. The total cooling capacity is the sum of all heat removal surfaces, each operating with its own driving force ΔT:</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Q_removable = U × A_jacket × ΔT_jacket + U × A_coil × ΔT_coil + U × A_plates × ΔT_plates</w:t>
      </w:r>
    </w:p>
    <w:p>
      <w:pPr>
        <w:spacing w:after="100" w:before="0"/>
      </w:pPr>
      <w:r>
        <w:rPr>
          <w:rFonts w:ascii="Arial" w:cs="Arial" w:eastAsia="Arial" w:hAnsi="Arial"/>
          <w:sz w:val="22"/>
          <w:szCs w:val="22"/>
        </w:rPr>
        <w:t xml:space="preserve">where ΔT = T_process − T_coolant_in. The jacket area is scaled by the user-specified coverage fraction (0–100%) to account for partial jackets: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A_jacket,eff = π × T × H × (coverage %)</w:t>
      </w:r>
    </w:p>
    <w:p>
      <w:pPr>
        <w:spacing w:after="100" w:before="0"/>
      </w:pPr>
      <w:r>
        <w:rPr>
          <w:rFonts w:ascii="Arial" w:cs="Arial" w:eastAsia="Arial" w:hAnsi="Arial"/>
          <w:sz w:val="22"/>
          <w:szCs w:val="22"/>
        </w:rPr>
        <w:t xml:space="preserve">For heating coils, the driving force is reversed: ΔT_heat = T_fluid_in − T_process. Total heating capacity from coils and electrical resistance heaters: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Q_heating = U × A_heat_coil × ΔT_heat + P_electrical</w:t>
      </w:r>
    </w:p>
    <w:p>
      <w:pPr>
        <w:pBdr>
          <w:left w:val="single" w:color="F0B400" w:sz="10" w:space="4"/>
        </w:pBdr>
        <w:shd w:fill="FFF8E1" w:val="clear"/>
        <w:spacing w:after="100" w:before="100"/>
        <w:ind w:left="360" w:right="360"/>
      </w:pPr>
      <w:r>
        <w:rPr>
          <w:rFonts w:ascii="Arial" w:cs="Arial" w:eastAsia="Arial" w:hAnsi="Arial"/>
          <w:i/>
          <w:iCs/>
          <w:color w:val="444444"/>
          <w:sz w:val="20"/>
          <w:szCs w:val="20"/>
        </w:rPr>
        <w:t xml:space="preserve">The tool uses a simplified U·A·ΔT model with a single user-specified U for all surfaces. In reality, U varies with impeller speed (U ∝ N^0.67 for jacketed vessels per Bondy-Lippa), with fouling, and with surface geometry. The calculated heat balance should be treated as a first-pass estimate.</w:t>
      </w:r>
    </w:p>
    <w:p>
      <w:pPr>
        <w:spacing w:after="80" w:before="40"/>
        <w:ind w:left="360"/>
      </w:pPr>
      <w:r>
        <w:rPr>
          <w:rFonts w:ascii="Arial" w:cs="Arial" w:eastAsia="Arial" w:hAnsi="Arial"/>
          <w:i/>
          <w:iCs/>
          <w:color w:val="555555"/>
          <w:sz w:val="18"/>
          <w:szCs w:val="18"/>
        </w:rPr>
        <w:t xml:space="preserve">▶ Bondy, F., Lippa, S. (1983). Heat transfer in agitated vessels. Chemical Engineering, 90(7), 62–71.</w:t>
      </w:r>
    </w:p>
    <w:p>
      <w:pPr>
        <w:spacing w:after="80" w:before="40"/>
        <w:ind w:left="360"/>
      </w:pPr>
      <w:r>
        <w:rPr>
          <w:rFonts w:ascii="Arial" w:cs="Arial" w:eastAsia="Arial" w:hAnsi="Arial"/>
          <w:i/>
          <w:iCs/>
          <w:color w:val="555555"/>
          <w:sz w:val="18"/>
          <w:szCs w:val="18"/>
        </w:rPr>
        <w:t xml:space="preserve">▶ Stitt, E.H. (2002). Alternative multiphase reactors for fine chemicals: A world beyond stirred tanks? Chemical Engineering Journal, 90(1-2), 47–60.</w:t>
      </w:r>
    </w:p>
    <w:p>
      <w:pPr>
        <w:spacing w:after="120" w:before="0"/>
      </w:pPr>
    </w:p>
    <w:p>
      <w:pPr>
        <w:pStyle w:val="Heading2"/>
        <w:spacing w:after="80" w:before="280"/>
      </w:pPr>
      <w:r>
        <w:rPr>
          <w:rFonts w:ascii="Arial" w:cs="Arial" w:eastAsia="Arial" w:hAnsi="Arial"/>
          <w:b/>
          <w:bCs/>
          <w:color w:val="2C2C2C"/>
          <w:sz w:val="24"/>
          <w:szCs w:val="24"/>
        </w:rPr>
        <w:t xml:space="preserve">10.3 Obstruction Heat Transfer Areas</w:t>
      </w:r>
    </w:p>
    <w:p>
      <w:pPr>
        <w:spacing w:after="100" w:before="0"/>
      </w:pPr>
      <w:r>
        <w:rPr>
          <w:rFonts w:ascii="Arial" w:cs="Arial" w:eastAsia="Arial" w:hAnsi="Arial"/>
          <w:sz w:val="22"/>
          <w:szCs w:val="22"/>
        </w:rPr>
        <w:t xml:space="preserve">Coil heat transfer area is calculated from the outer pipe surface area of the coil:</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A_coil = N_turns × (π × D_coil) × (π × d_pipe)</w:t>
      </w:r>
    </w:p>
    <w:p>
      <w:pPr>
        <w:spacing w:after="100" w:before="0"/>
      </w:pPr>
      <w:r>
        <w:rPr>
          <w:rFonts w:ascii="Arial" w:cs="Arial" w:eastAsia="Arial" w:hAnsi="Arial"/>
          <w:sz w:val="22"/>
          <w:szCs w:val="22"/>
        </w:rPr>
        <w:t xml:space="preserve">where D_coil is the coil centerline diameter and d_pipe is the pipe outer diameter. For heat transfer plates, both faces contribute:</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A_plate = 2 × w_plate × h_plate</w:t>
      </w:r>
    </w:p>
    <w:p>
      <w:pPr>
        <w:spacing w:after="100" w:before="0"/>
      </w:pPr>
      <w:r>
        <w:rPr>
          <w:rFonts w:ascii="Arial" w:cs="Arial" w:eastAsia="Arial" w:hAnsi="Arial"/>
          <w:sz w:val="22"/>
          <w:szCs w:val="22"/>
        </w:rPr>
        <w:t xml:space="preserve">Electrical resistance heaters contribute their full rated power directly, independent of U, area, or ΔT.</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11. Internal Obstructions</w:t>
      </w:r>
    </w:p>
    <w:p>
      <w:pPr>
        <w:pStyle w:val="Heading2"/>
        <w:spacing w:after="80" w:before="280"/>
      </w:pPr>
      <w:r>
        <w:rPr>
          <w:rFonts w:ascii="Arial" w:cs="Arial" w:eastAsia="Arial" w:hAnsi="Arial"/>
          <w:b/>
          <w:bCs/>
          <w:color w:val="2C2C2C"/>
          <w:sz w:val="24"/>
          <w:szCs w:val="24"/>
        </w:rPr>
        <w:t xml:space="preserve">11.1 Volume Displacement</w:t>
      </w:r>
    </w:p>
    <w:p>
      <w:pPr>
        <w:spacing w:after="100" w:before="0"/>
      </w:pPr>
      <w:r>
        <w:rPr>
          <w:rFonts w:ascii="Arial" w:cs="Arial" w:eastAsia="Arial" w:hAnsi="Arial"/>
          <w:sz w:val="22"/>
          <w:szCs w:val="22"/>
        </w:rPr>
        <w:t xml:space="preserve">All internal obstructions displace fluid volume, reducing the effective mixing volume available for power calculations: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V_eff = V_gross × (1 − Σφ_i)     where φ_i = V_obstruction,i / V_gross</w:t>
      </w:r>
    </w:p>
    <w:p>
      <w:pPr>
        <w:spacing w:after="100" w:before="0"/>
      </w:pPr>
      <w:r>
        <w:rPr>
          <w:rFonts w:ascii="Arial" w:cs="Arial" w:eastAsia="Arial" w:hAnsi="Arial"/>
          <w:sz w:val="22"/>
          <w:szCs w:val="22"/>
        </w:rPr>
        <w:t xml:space="preserve">Volume fractions by obstruction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Obstruction type</w:t>
            </w:r>
          </w:p>
        </w:tc>
        <w:tc>
          <w:tcPr>
            <w:tcW w:type="dxa" w:w="4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Volume calculation</w:t>
            </w:r>
          </w:p>
        </w:tc>
        <w:tc>
          <w:tcPr>
            <w:tcW w:type="dxa" w:w="31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Typical φ range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Wall coil (helical)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 = N_turns × π × D_coil × (π/4) × d_pipe²</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0.01–0.05</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Full-tank coil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 = N_turns × π × D_coil × (π/4) × d_pipe²</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0.03–0.08</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Heat transfer plate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 = w_plate × h_plate × t_plate (t = 12mm)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0.01–0.04</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Sparger 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 = π × d_sparger × d_pipe × 0.005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0.005</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Probe / dip tube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 = (π/4) × d_probe² × depth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&lt; 0.001</w:t>
            </w:r>
          </w:p>
        </w:tc>
      </w:tr>
    </w:tbl>
    <w:p>
      <w:pPr>
        <w:spacing w:after="120" w:before="0"/>
      </w:pPr>
    </w:p>
    <w:p>
      <w:pPr>
        <w:pStyle w:val="Heading2"/>
        <w:spacing w:after="80" w:before="280"/>
      </w:pPr>
      <w:r>
        <w:rPr>
          <w:rFonts w:ascii="Arial" w:cs="Arial" w:eastAsia="Arial" w:hAnsi="Arial"/>
          <w:b/>
          <w:bCs/>
          <w:color w:val="2C2C2C"/>
          <w:sz w:val="24"/>
          <w:szCs w:val="24"/>
        </w:rPr>
        <w:t xml:space="preserve">11.2 Pseudo-Baffle Effect</w:t>
      </w:r>
    </w:p>
    <w:p>
      <w:pPr>
        <w:spacing w:after="100" w:before="0"/>
      </w:pPr>
      <w:r>
        <w:rPr>
          <w:rFonts w:ascii="Arial" w:cs="Arial" w:eastAsia="Arial" w:hAnsi="Arial"/>
          <w:sz w:val="22"/>
          <w:szCs w:val="22"/>
        </w:rPr>
        <w:t xml:space="preserve">Obstructions that significantly redirect flow (coils, vertical plates) act as pseudo-baffles, increasing effective Np and suppressing solid-body rotation. When any pseudo-baffle obstruction is present, the tool applies a 10% Np correction:</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N_p,eff = N_p × 1.10     (when pseudo-baffle obstruction present)</w:t>
      </w:r>
    </w:p>
    <w:p>
      <w:pPr>
        <w:spacing w:after="100" w:before="0"/>
      </w:pPr>
      <w:r>
        <w:rPr>
          <w:rFonts w:ascii="Arial" w:cs="Arial" w:eastAsia="Arial" w:hAnsi="Arial"/>
          <w:sz w:val="22"/>
          <w:szCs w:val="22"/>
        </w:rPr>
        <w:t xml:space="preserve">Pseudo-baffle effect is attributed to: wall coils (strong), full-tank coils (strong), heat transfer plates (significant), spargers (negligible), probes (negligible). This correction is approximate. The actual Np increase depends on coil geometry, coverage, and proximity to the impeller discharge zone.</w:t>
      </w:r>
    </w:p>
    <w:p>
      <w:pPr>
        <w:spacing w:after="80" w:before="40"/>
        <w:ind w:left="360"/>
      </w:pPr>
      <w:r>
        <w:rPr>
          <w:rFonts w:ascii="Arial" w:cs="Arial" w:eastAsia="Arial" w:hAnsi="Arial"/>
          <w:i/>
          <w:iCs/>
          <w:color w:val="555555"/>
          <w:sz w:val="18"/>
          <w:szCs w:val="18"/>
        </w:rPr>
        <w:t xml:space="preserve">▶ Grenville, R.K., Nienow, A.W. (2004). Blending of miscible liquids. In: Paul et al., Handbook of Industrial Mixing, Ch. 9.</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12. Geometric Similarity Score</w:t>
      </w:r>
    </w:p>
    <w:p>
      <w:pPr>
        <w:pStyle w:val="Heading2"/>
        <w:spacing w:after="80" w:before="280"/>
      </w:pPr>
      <w:r>
        <w:rPr>
          <w:rFonts w:ascii="Arial" w:cs="Arial" w:eastAsia="Arial" w:hAnsi="Arial"/>
          <w:b/>
          <w:bCs/>
          <w:color w:val="2C2C2C"/>
          <w:sz w:val="24"/>
          <w:szCs w:val="24"/>
        </w:rPr>
        <w:t xml:space="preserve">12.1 Score Calculation</w:t>
      </w:r>
    </w:p>
    <w:p>
      <w:pPr>
        <w:spacing w:after="100" w:before="0"/>
      </w:pPr>
      <w:r>
        <w:rPr>
          <w:rFonts w:ascii="Arial" w:cs="Arial" w:eastAsia="Arial" w:hAnsi="Arial"/>
          <w:sz w:val="22"/>
          <w:szCs w:val="22"/>
        </w:rPr>
        <w:t xml:space="preserve">The Geometric Similarity Score (GSS) is a composite penalty score ranging from 0 to 100:</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GSS = 100 − Σ w_i × min(|r_i − 1|, 1)</w:t>
      </w:r>
    </w:p>
    <w:p>
      <w:pPr>
        <w:spacing w:after="100" w:before="0"/>
      </w:pPr>
      <w:r>
        <w:rPr>
          <w:rFonts w:ascii="Arial" w:cs="Arial" w:eastAsia="Arial" w:hAnsi="Arial"/>
          <w:sz w:val="22"/>
          <w:szCs w:val="22"/>
        </w:rPr>
        <w:t xml:space="preserve">where r_i = ratio_large / ratio_small for each geometric ratio and w_i is the weight for that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Ratio</w:t>
            </w:r>
          </w:p>
        </w:tc>
        <w:tc>
          <w:tcPr>
            <w:tcW w:type="dxa" w:w="12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Weight w_i</w:t>
            </w:r>
          </w:p>
        </w:tc>
        <w:tc>
          <w:tcPr>
            <w:tcW w:type="dxa" w:w="59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D/T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Most critical ratio for power, flow pattern, and scale-up</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Affects circulation zones and blend time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Critical for Njs and bottom drawdown</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Baffle w/T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Affects Np and flow structure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Impeller type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 if mismatch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Different impellers have different Np and flow patterns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Baffled vs. unbaffled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15 if mismatch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Fundamentally different flow regimes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Obstruction loading difference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(continuous)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Δφ × 200, capped at 10</w:t>
            </w:r>
          </w:p>
        </w:tc>
      </w:tr>
    </w:tbl>
    <w:p>
      <w:pPr>
        <w:spacing w:after="100" w:before="0"/>
      </w:pPr>
      <w:r>
        <w:rPr>
          <w:rFonts w:ascii="Arial" w:cs="Arial" w:eastAsia="Arial" w:hAnsi="Arial"/>
          <w:sz w:val="22"/>
          <w:szCs w:val="22"/>
        </w:rPr>
        <w:t xml:space="preserve">Score interpretation:</w:t>
      </w:r>
    </w:p>
    <w:p>
      <w:pPr>
        <w:pStyle w:val="ListParagraph"/>
        <w:numPr>
          <w:ilvl w:val="0"/>
          <w:numId w:val="2"/>
        </w:numPr>
        <w:spacing w:after="40" w:before="40"/>
      </w:pPr>
      <w:r>
        <w:rPr>
          <w:rFonts w:ascii="Arial" w:cs="Arial" w:eastAsia="Arial" w:hAnsi="Arial"/>
          <w:sz w:val="22"/>
          <w:szCs w:val="22"/>
        </w:rPr>
        <w:t xml:space="preserve">GSS ≥ 80: tanks are geometrically similar; all scale-up criteria applicable</w:t>
      </w:r>
    </w:p>
    <w:p>
      <w:pPr>
        <w:pStyle w:val="ListParagraph"/>
        <w:numPr>
          <w:ilvl w:val="0"/>
          <w:numId w:val="2"/>
        </w:numPr>
        <w:spacing w:after="40" w:before="40"/>
      </w:pPr>
      <w:r>
        <w:rPr>
          <w:rFonts w:ascii="Arial" w:cs="Arial" w:eastAsia="Arial" w:hAnsi="Arial"/>
          <w:sz w:val="22"/>
          <w:szCs w:val="22"/>
        </w:rPr>
        <w:t xml:space="preserve">GSS 60–79: partial similarity; most criteria applicable with caution</w:t>
      </w:r>
    </w:p>
    <w:p>
      <w:pPr>
        <w:pStyle w:val="ListParagraph"/>
        <w:numPr>
          <w:ilvl w:val="0"/>
          <w:numId w:val="2"/>
        </w:numPr>
        <w:spacing w:after="40" w:before="40"/>
      </w:pPr>
      <w:r>
        <w:rPr>
          <w:rFonts w:ascii="Arial" w:cs="Arial" w:eastAsia="Arial" w:hAnsi="Arial"/>
          <w:sz w:val="22"/>
          <w:szCs w:val="22"/>
        </w:rPr>
        <w:t xml:space="preserve">GSS &lt; 60: significant deviation; criteria requiring geometric similarity are locked</w:t>
      </w:r>
    </w:p>
    <w:p>
      <w:pPr>
        <w:spacing w:after="100" w:before="0"/>
      </w:pPr>
      <w:r>
        <w:rPr>
          <w:rFonts w:ascii="Arial" w:cs="Arial" w:eastAsia="Arial" w:hAnsi="Arial"/>
          <w:sz w:val="22"/>
          <w:szCs w:val="22"/>
        </w:rPr>
        <w:t xml:space="preserve">When the GSS &lt; 60, the following criteria are locked: equal P/V, equal Re, and equal blend time. Equal tip speed, equal Njs, and equal Froude are less dependent on geometric similarity and remain available.</w:t>
      </w:r>
    </w:p>
    <w:p>
      <w:pPr>
        <w:spacing w:after="80" w:before="40"/>
        <w:ind w:left="360"/>
      </w:pPr>
      <w:r>
        <w:rPr>
          <w:rFonts w:ascii="Arial" w:cs="Arial" w:eastAsia="Arial" w:hAnsi="Arial"/>
          <w:i/>
          <w:iCs/>
          <w:color w:val="555555"/>
          <w:sz w:val="18"/>
          <w:szCs w:val="18"/>
        </w:rPr>
        <w:t xml:space="preserve">▶ Paul, E.L., Atiemo-Obeng, V.A., Kresta, S.M. (2004). Handbook of Industrial Mixing, Ch. 12.</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13. Motor and Mechanical Sizing</w:t>
      </w:r>
    </w:p>
    <w:p>
      <w:pPr>
        <w:pStyle w:val="Heading2"/>
        <w:spacing w:after="80" w:before="280"/>
      </w:pPr>
      <w:r>
        <w:rPr>
          <w:rFonts w:ascii="Arial" w:cs="Arial" w:eastAsia="Arial" w:hAnsi="Arial"/>
          <w:b/>
          <w:bCs/>
          <w:color w:val="2C2C2C"/>
          <w:sz w:val="24"/>
          <w:szCs w:val="24"/>
        </w:rPr>
        <w:t xml:space="preserve">13.1 Motor Power Rating</w:t>
      </w:r>
    </w:p>
    <w:p>
      <w:pPr>
        <w:spacing w:after="100" w:before="0"/>
      </w:pPr>
      <w:r>
        <w:rPr>
          <w:rFonts w:ascii="Arial" w:cs="Arial" w:eastAsia="Arial" w:hAnsi="Arial"/>
          <w:sz w:val="22"/>
          <w:szCs w:val="22"/>
        </w:rPr>
        <w:t xml:space="preserve">The minimum motor power rating is calculated from shaft power with a safety factor and a mechanical efficiency: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P_motor = P_shaft × SF / η_mech</w:t>
      </w:r>
    </w:p>
    <w:p>
      <w:pPr>
        <w:spacing w:after="100" w:before="0"/>
      </w:pPr>
      <w:r>
        <w:rPr>
          <w:rFonts w:ascii="Arial" w:cs="Arial" w:eastAsia="Arial" w:hAnsi="Arial"/>
          <w:sz w:val="22"/>
          <w:szCs w:val="22"/>
        </w:rPr>
        <w:t xml:space="preserve">where SF = 1.20 (20% safety factor) and η_mech = 0.90 (90% mechanical efficiency). Additional losses from gearboxes and mechanical seals add 5–15% in practice and are noted but not included in the calculated value.</w:t>
      </w:r>
    </w:p>
    <w:p>
      <w:pPr>
        <w:spacing w:after="120" w:before="0"/>
      </w:pPr>
    </w:p>
    <w:p>
      <w:pPr>
        <w:pStyle w:val="Heading2"/>
        <w:spacing w:after="80" w:before="280"/>
      </w:pPr>
      <w:r>
        <w:rPr>
          <w:rFonts w:ascii="Arial" w:cs="Arial" w:eastAsia="Arial" w:hAnsi="Arial"/>
          <w:b/>
          <w:bCs/>
          <w:color w:val="2C2C2C"/>
          <w:sz w:val="24"/>
          <w:szCs w:val="24"/>
        </w:rPr>
        <w:t xml:space="preserve">13.2 Torque</w:t>
      </w:r>
    </w:p>
    <w:p>
      <w:pPr>
        <w:spacing w:after="100" w:before="0"/>
      </w:pPr>
      <w:r>
        <w:rPr>
          <w:rFonts w:ascii="Arial" w:cs="Arial" w:eastAsia="Arial" w:hAnsi="Arial"/>
          <w:sz w:val="22"/>
          <w:szCs w:val="22"/>
        </w:rPr>
        <w:t xml:space="preserve">Shaft torque is related to power and speed by:</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T_shaft = P / (2π × N)</w:t>
      </w:r>
    </w:p>
    <w:p>
      <w:pPr>
        <w:spacing w:after="100" w:before="0"/>
      </w:pPr>
      <w:r>
        <w:rPr>
          <w:rFonts w:ascii="Arial" w:cs="Arial" w:eastAsia="Arial" w:hAnsi="Arial"/>
          <w:sz w:val="22"/>
          <w:szCs w:val="22"/>
        </w:rPr>
        <w:t xml:space="preserve">On scale-up at constant P/V, power increases in proportion to volume (P_L/P_S = V_L/V_S), but speed N decreases. Since torque scales as P/N, and P ∝ T³ while N ∝ T^(-2/3) (at constant P/V, geometric similarity), torque scales as:</w:t>
      </w:r>
    </w:p>
    <w:p>
      <w:pPr>
        <w:pBdr>
          <w:left w:val="single" w:color="1F5FA6" w:sz="12" w:space="4"/>
        </w:pBdr>
        <w:shd w:fill="F5F5F5" w:val="clear"/>
        <w:spacing w:after="120" w:before="120"/>
        <w:ind w:left="720"/>
      </w:pPr>
      <w:r>
        <w:rPr>
          <w:rFonts w:ascii="Cambria Math" w:cs="Cambria Math" w:eastAsia="Cambria Math" w:hAnsi="Cambria Math"/>
          <w:b/>
          <w:bCs/>
          <w:sz w:val="22"/>
          <w:szCs w:val="22"/>
        </w:rPr>
        <w:t xml:space="preserve">T_shaft ∝ T^(3 + 2/3) = T^(11/3)</w:t>
      </w:r>
    </w:p>
    <w:p>
      <w:pPr>
        <w:spacing w:after="100" w:before="0"/>
      </w:pPr>
      <w:r>
        <w:rPr>
          <w:rFonts w:ascii="Arial" w:cs="Arial" w:eastAsia="Arial" w:hAnsi="Arial"/>
          <w:sz w:val="22"/>
          <w:szCs w:val="22"/>
        </w:rPr>
        <w:t xml:space="preserve">This means torque grows much faster than power on scale-up. A 10× volume scale-up (T × 2.15) increases torque by approximately 2.15^(11/3) ≈ 14×. Shaft diameter, coupling size, and mechanical seal selection are typically determined by torque, not power.</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14. Global Assumptions and Limitations</w:t>
      </w:r>
    </w:p>
    <w:p>
      <w:pPr>
        <w:pStyle w:val="Heading2"/>
        <w:spacing w:after="80" w:before="280"/>
      </w:pPr>
      <w:r>
        <w:rPr>
          <w:rFonts w:ascii="Arial" w:cs="Arial" w:eastAsia="Arial" w:hAnsi="Arial"/>
          <w:b/>
          <w:bCs/>
          <w:color w:val="2C2C2C"/>
          <w:sz w:val="24"/>
          <w:szCs w:val="24"/>
        </w:rPr>
        <w:t xml:space="preserve">14.1 Fundamental Assumptions</w:t>
      </w:r>
    </w:p>
    <w:p>
      <w:pPr>
        <w:spacing w:after="100" w:before="0"/>
      </w:pPr>
      <w:r>
        <w:rPr>
          <w:rFonts w:ascii="Arial" w:cs="Arial" w:eastAsia="Arial" w:hAnsi="Arial"/>
          <w:sz w:val="22"/>
          <w:szCs w:val="22"/>
        </w:rPr>
        <w:t xml:space="preserve">The following assumptions underpin all calculations in this toolkit:</w:t>
      </w:r>
    </w:p>
    <w:p>
      <w:pPr>
        <w:pStyle w:val="ListParagraph"/>
        <w:numPr>
          <w:ilvl w:val="0"/>
          <w:numId w:val="3"/>
        </w:numPr>
        <w:spacing w:after="40" w:before="40"/>
      </w:pPr>
      <w:r>
        <w:rPr>
          <w:rFonts w:ascii="Arial" w:cs="Arial" w:eastAsia="Arial" w:hAnsi="Arial"/>
          <w:sz w:val="22"/>
          <w:szCs w:val="22"/>
        </w:rPr>
        <w:t xml:space="preserve">Fully developed turbulent flow (Re &gt; 10,000) unless explicitly stated otherwise. All standard Np, NQ, and blend time correlations are derived under this assumption.</w:t>
      </w:r>
    </w:p>
    <w:p>
      <w:pPr>
        <w:pStyle w:val="ListParagraph"/>
        <w:numPr>
          <w:ilvl w:val="0"/>
          <w:numId w:val="3"/>
        </w:numPr>
        <w:spacing w:after="40" w:before="40"/>
      </w:pPr>
      <w:r>
        <w:rPr>
          <w:rFonts w:ascii="Arial" w:cs="Arial" w:eastAsia="Arial" w:hAnsi="Arial"/>
          <w:sz w:val="22"/>
          <w:szCs w:val="22"/>
        </w:rPr>
        <w:t xml:space="preserve">Newtonian fluid (or effectively Newtonian via Metzner-Otto approximation). Elastic and viscoelastic effects are not modeled.</w:t>
      </w:r>
    </w:p>
    <w:p>
      <w:pPr>
        <w:pStyle w:val="ListParagraph"/>
        <w:numPr>
          <w:ilvl w:val="0"/>
          <w:numId w:val="3"/>
        </w:numPr>
        <w:spacing w:after="40" w:before="40"/>
      </w:pPr>
      <w:r>
        <w:rPr>
          <w:rFonts w:ascii="Arial" w:cs="Arial" w:eastAsia="Arial" w:hAnsi="Arial"/>
          <w:sz w:val="22"/>
          <w:szCs w:val="22"/>
        </w:rPr>
        <w:t xml:space="preserve">Baffled vessel unless unbaffled is selected. Standard baffles (4 × W = T/10, full height) are the reference configuration for all correlations.</w:t>
      </w:r>
    </w:p>
    <w:p>
      <w:pPr>
        <w:pStyle w:val="ListParagraph"/>
        <w:numPr>
          <w:ilvl w:val="0"/>
          <w:numId w:val="3"/>
        </w:numPr>
        <w:spacing w:after="40" w:before="40"/>
      </w:pPr>
      <w:r>
        <w:rPr>
          <w:rFonts w:ascii="Arial" w:cs="Arial" w:eastAsia="Arial" w:hAnsi="Arial"/>
          <w:sz w:val="22"/>
          <w:szCs w:val="22"/>
        </w:rPr>
        <w:t xml:space="preserve">Single-phase or pseudo-single-phase continuous phase for power and mixing correlations. Gas-liquid and solid-liquid corrections are applied as described in Sections 9 and 8.</w:t>
      </w:r>
    </w:p>
    <w:p>
      <w:pPr>
        <w:pStyle w:val="ListParagraph"/>
        <w:numPr>
          <w:ilvl w:val="0"/>
          <w:numId w:val="3"/>
        </w:numPr>
        <w:spacing w:after="40" w:before="40"/>
      </w:pPr>
      <w:r>
        <w:rPr>
          <w:rFonts w:ascii="Arial" w:cs="Arial" w:eastAsia="Arial" w:hAnsi="Arial"/>
          <w:sz w:val="22"/>
          <w:szCs w:val="22"/>
        </w:rPr>
        <w:t xml:space="preserve">Geometric similarity within a scale (i.e., the impeller is appropriately sized for the tank). D/T outside the range 0.15–0.60 triggers warnings.</w:t>
      </w:r>
    </w:p>
    <w:p>
      <w:pPr>
        <w:pStyle w:val="ListParagraph"/>
        <w:numPr>
          <w:ilvl w:val="0"/>
          <w:numId w:val="3"/>
        </w:numPr>
        <w:spacing w:after="40" w:before="40"/>
      </w:pPr>
      <w:r>
        <w:rPr>
          <w:rFonts w:ascii="Arial" w:cs="Arial" w:eastAsia="Arial" w:hAnsi="Arial"/>
          <w:sz w:val="22"/>
          <w:szCs w:val="22"/>
        </w:rPr>
        <w:t xml:space="preserve">Steady-state operation at the specified N. Startup, ramp-up, and transient conditions are not modeled.</w:t>
      </w:r>
    </w:p>
    <w:p>
      <w:pPr>
        <w:pStyle w:val="ListParagraph"/>
        <w:numPr>
          <w:ilvl w:val="0"/>
          <w:numId w:val="3"/>
        </w:numPr>
        <w:spacing w:after="40" w:before="40"/>
      </w:pPr>
      <w:r>
        <w:rPr>
          <w:rFonts w:ascii="Arial" w:cs="Arial" w:eastAsia="Arial" w:hAnsi="Arial"/>
          <w:sz w:val="22"/>
          <w:szCs w:val="22"/>
        </w:rPr>
        <w:t xml:space="preserve">Well-mixed macroscale behavior, with local inhomogeneities captured only through the Kolmogorov microscale approximation. Compartment models, CFD-level local flow, and local concentration gradients are outside the scope.</w:t>
      </w:r>
    </w:p>
    <w:p>
      <w:pPr>
        <w:spacing w:after="120" w:before="0"/>
      </w:pPr>
    </w:p>
    <w:p>
      <w:pPr>
        <w:pStyle w:val="Heading2"/>
        <w:spacing w:after="80" w:before="280"/>
      </w:pPr>
      <w:r>
        <w:rPr>
          <w:rFonts w:ascii="Arial" w:cs="Arial" w:eastAsia="Arial" w:hAnsi="Arial"/>
          <w:b/>
          <w:bCs/>
          <w:color w:val="2C2C2C"/>
          <w:sz w:val="24"/>
          <w:szCs w:val="24"/>
        </w:rPr>
        <w:t xml:space="preserve">14.2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300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c>
          <w:tcPr>
            <w:tcW w:type="dxa" w:w="4360"/>
            <w:tcBorders>
              <w:top w:val="single" w:color="CCCCCC" w:sz="1"/>
              <w:left w:val="single" w:color="CCCCCC" w:sz="1"/>
              <w:bottom w:val="single" w:color="CCCCCC" w:sz="1"/>
              <w:right w:val="single" w:color="CCCCCC" w:sz="1"/>
            </w:tcBorders>
            <w:shd w:fill="1F5FA6" w:val="clear"/>
            <w:tcMar>
              <w:top w:type="dxa" w:w="80"/>
              <w:left w:type="dxa" w:w="120"/>
              <w:bottom w:type="dxa" w:w="80"/>
              <w:right w:type="dxa" w:w="120"/>
            </w:tcMar>
          </w:tcPr>
          <w:p>
            <w:r>
              <w:rPr>
                <w:rFonts w:ascii="Arial" w:cs="Arial" w:eastAsia="Arial" w:hAnsi="Arial"/>
                <w:b/>
                <w:bCs/>
                <w:color w:val="FFFFFF"/>
                <w:sz w:val="20"/>
                <w:szCs w:val="20"/>
              </w:rPr>
              <w:t xml:space="preserve">When accuracy degrades most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 from tabulated values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Non-standard impeller geometry; transitional Re</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Blend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Non-standard D/T; H/T &gt; 1.5; multiple impeller interaction</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k_La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Non-coalescent media; high cell density; foam; viscous broths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N_js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 solids (X &gt; 20%); dished bottoms; non-spherical particles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N_flood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Axial-flow impellers; non-standard sparger placement</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Metzner-Otto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Viscoelastic fluids; spatially heterogeneous suspensions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Heat transfer (U·A·ΔT)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Fouling; low Re; natural convection dominates</w:t>
            </w:r>
          </w:p>
        </w:tc>
      </w:tr>
      <w:tr>
        <w:tc>
          <w:tcPr>
            <w:tcW w:type="dxa" w:w="2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222222"/>
                <w:sz w:val="20"/>
                <w:szCs w:val="20"/>
              </w:rPr>
              <w:t xml:space="preserve">Krieger-Dougherty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±50% at high φ</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Non-spherical particles; flocculated systems; φ &gt; 0.30</w:t>
            </w:r>
          </w:p>
        </w:tc>
      </w:tr>
    </w:tbl>
    <w:p>
      <w:pPr>
        <w:spacing w:after="120" w:before="0"/>
      </w:pPr>
    </w:p>
    <w:p>
      <w:pPr>
        <w:pStyle w:val="Heading2"/>
        <w:spacing w:after="80" w:before="280"/>
      </w:pPr>
      <w:r>
        <w:rPr>
          <w:rFonts w:ascii="Arial" w:cs="Arial" w:eastAsia="Arial" w:hAnsi="Arial"/>
          <w:b/>
          <w:bCs/>
          <w:color w:val="2C2C2C"/>
          <w:sz w:val="24"/>
          <w:szCs w:val="24"/>
        </w:rPr>
        <w:t xml:space="preserve">14.3 When to Consult CFD or Physical Pilot Testing</w:t>
      </w:r>
    </w:p>
    <w:p>
      <w:pPr>
        <w:spacing w:after="100" w:before="0"/>
      </w:pPr>
      <w:r>
        <w:rPr>
          <w:rFonts w:ascii="Arial" w:cs="Arial" w:eastAsia="Arial" w:hAnsi="Arial"/>
          <w:sz w:val="22"/>
          <w:szCs w:val="22"/>
        </w:rPr>
        <w:t xml:space="preserve">This toolkit is a screening and comparison tool. Physical pilot testing or CFD should be used when:</w:t>
      </w:r>
    </w:p>
    <w:p>
      <w:pPr>
        <w:pStyle w:val="ListParagraph"/>
        <w:numPr>
          <w:ilvl w:val="0"/>
          <w:numId w:val="2"/>
        </w:numPr>
        <w:spacing w:after="40" w:before="40"/>
      </w:pPr>
      <w:r>
        <w:rPr>
          <w:rFonts w:ascii="Arial" w:cs="Arial" w:eastAsia="Arial" w:hAnsi="Arial"/>
          <w:sz w:val="22"/>
          <w:szCs w:val="22"/>
        </w:rPr>
        <w:t xml:space="preserve">The Geometric Similarity Score is below 70 and scale-up must be justified rigorously</w:t>
      </w:r>
    </w:p>
    <w:p>
      <w:pPr>
        <w:pStyle w:val="ListParagraph"/>
        <w:numPr>
          <w:ilvl w:val="0"/>
          <w:numId w:val="2"/>
        </w:numPr>
        <w:spacing w:after="40" w:before="40"/>
      </w:pPr>
      <w:r>
        <w:rPr>
          <w:rFonts w:ascii="Arial" w:cs="Arial" w:eastAsia="Arial" w:hAnsi="Arial"/>
          <w:sz w:val="22"/>
          <w:szCs w:val="22"/>
        </w:rPr>
        <w:t xml:space="preserve">Da is in the range 0.1–1.0, indicating mixing-reaction coupling, and the process is selectivity-sensitive</w:t>
      </w:r>
    </w:p>
    <w:p>
      <w:pPr>
        <w:pStyle w:val="ListParagraph"/>
        <w:numPr>
          <w:ilvl w:val="0"/>
          <w:numId w:val="2"/>
        </w:numPr>
        <w:spacing w:after="40" w:before="40"/>
      </w:pPr>
      <w:r>
        <w:rPr>
          <w:rFonts w:ascii="Arial" w:cs="Arial" w:eastAsia="Arial" w:hAnsi="Arial"/>
          <w:sz w:val="22"/>
          <w:szCs w:val="22"/>
        </w:rPr>
        <w:t xml:space="preserve">The 3-phase feasibility window is narrow (&lt; 20 rpm) or nonexistent</w:t>
      </w:r>
    </w:p>
    <w:p>
      <w:pPr>
        <w:pStyle w:val="ListParagraph"/>
        <w:numPr>
          <w:ilvl w:val="0"/>
          <w:numId w:val="2"/>
        </w:numPr>
        <w:spacing w:after="40" w:before="40"/>
      </w:pPr>
      <w:r>
        <w:rPr>
          <w:rFonts w:ascii="Arial" w:cs="Arial" w:eastAsia="Arial" w:hAnsi="Arial"/>
          <w:sz w:val="22"/>
          <w:szCs w:val="22"/>
        </w:rPr>
        <w:t xml:space="preserve">Np, k_La, or Njs are being relied upon at accuracy better than ±30%</w:t>
      </w:r>
    </w:p>
    <w:p>
      <w:pPr>
        <w:pStyle w:val="ListParagraph"/>
        <w:numPr>
          <w:ilvl w:val="0"/>
          <w:numId w:val="2"/>
        </w:numPr>
        <w:spacing w:after="40" w:before="40"/>
      </w:pPr>
      <w:r>
        <w:rPr>
          <w:rFonts w:ascii="Arial" w:cs="Arial" w:eastAsia="Arial" w:hAnsi="Arial"/>
          <w:sz w:val="22"/>
          <w:szCs w:val="22"/>
        </w:rPr>
        <w:t xml:space="preserve">Heat transfer is within 20% of the calculated limit at large scale</w:t>
      </w:r>
    </w:p>
    <w:p>
      <w:pPr>
        <w:pStyle w:val="ListParagraph"/>
        <w:numPr>
          <w:ilvl w:val="0"/>
          <w:numId w:val="2"/>
        </w:numPr>
        <w:spacing w:after="40" w:before="40"/>
      </w:pPr>
      <w:r>
        <w:rPr>
          <w:rFonts w:ascii="Arial" w:cs="Arial" w:eastAsia="Arial" w:hAnsi="Arial"/>
          <w:sz w:val="22"/>
          <w:szCs w:val="22"/>
        </w:rPr>
        <w:t xml:space="preserve">The fluid is viscoelastic, highly shear-thinning (n &lt; 0.4), or has significant yield stress</w:t>
      </w:r>
    </w:p>
    <w:p>
      <w:pPr>
        <w:pStyle w:val="ListParagraph"/>
        <w:numPr>
          <w:ilvl w:val="0"/>
          <w:numId w:val="2"/>
        </w:numPr>
        <w:spacing w:after="40" w:before="40"/>
      </w:pPr>
      <w:r>
        <w:rPr>
          <w:rFonts w:ascii="Arial" w:cs="Arial" w:eastAsia="Arial" w:hAnsi="Arial"/>
          <w:sz w:val="22"/>
          <w:szCs w:val="22"/>
        </w:rPr>
        <w:t xml:space="preserve">Novel impeller geometry is being used for which tabulated Np, NQ, k_s values are not available</w:t>
      </w:r>
    </w:p>
    <w:p>
      <w:pPr>
        <w:spacing w:after="120" w:before="0"/>
      </w:pPr>
    </w:p>
    <w:p>
      <w:r>
        <w:br w:type="page"/>
      </w:r>
    </w:p>
    <w:p>
      <w:pPr>
        <w:pStyle w:val="Heading1"/>
        <w:pBdr>
          <w:bottom w:val="single" w:color="1F5FA6" w:sz="6" w:space="4"/>
        </w:pBdr>
        <w:spacing w:after="120" w:before="360"/>
      </w:pPr>
      <w:r>
        <w:rPr>
          <w:rFonts w:ascii="Arial" w:cs="Arial" w:eastAsia="Arial" w:hAnsi="Arial"/>
          <w:b/>
          <w:bCs/>
          <w:color w:val="1F5FA6"/>
          <w:sz w:val="28"/>
          <w:szCs w:val="28"/>
        </w:rPr>
        <w:t xml:space="preserve">15. References</w:t>
      </w:r>
    </w:p>
    <w:p>
      <w:pPr>
        <w:spacing w:after="100" w:before="0"/>
      </w:pPr>
      <w:r>
        <w:rPr>
          <w:rFonts w:ascii="Arial" w:cs="Arial" w:eastAsia="Arial" w:hAnsi="Arial"/>
          <w:b/>
          <w:bCs/>
          <w:sz w:val="22"/>
          <w:szCs w:val="22"/>
        </w:rPr>
        <w:t xml:space="preserve">Baldyga, J., Bourne, J.R. (1999). </w:t>
      </w:r>
      <w:r>
        <w:rPr>
          <w:rFonts w:ascii="Arial" w:cs="Arial" w:eastAsia="Arial" w:hAnsi="Arial"/>
          <w:i/>
          <w:iCs/>
          <w:sz w:val="22"/>
          <w:szCs w:val="22"/>
        </w:rPr>
        <w:t xml:space="preserve">Turbulent Mixing and Chemical Reactions.</w:t>
      </w:r>
      <w:r>
        <w:rPr>
          <w:rFonts w:ascii="Arial" w:cs="Arial" w:eastAsia="Arial" w:hAnsi="Arial"/>
          <w:sz w:val="22"/>
          <w:szCs w:val="22"/>
        </w:rPr>
        <w:t xml:space="preserve"> John Wiley &amp; Sons, Chichester.</w:t>
      </w:r>
    </w:p>
    <w:p>
      <w:pPr>
        <w:spacing w:after="120" w:before="0"/>
      </w:pPr>
    </w:p>
    <w:p>
      <w:pPr>
        <w:spacing w:after="100" w:before="0"/>
      </w:pPr>
      <w:r>
        <w:rPr>
          <w:rFonts w:ascii="Arial" w:cs="Arial" w:eastAsia="Arial" w:hAnsi="Arial"/>
          <w:b/>
          <w:bCs/>
          <w:sz w:val="22"/>
          <w:szCs w:val="22"/>
        </w:rPr>
        <w:t xml:space="preserve">Bondy, F., Lippa, S. (1983). </w:t>
      </w:r>
      <w:r>
        <w:rPr>
          <w:rFonts w:ascii="Arial" w:cs="Arial" w:eastAsia="Arial" w:hAnsi="Arial"/>
          <w:sz w:val="22"/>
          <w:szCs w:val="22"/>
        </w:rPr>
        <w:t xml:space="preserve">Heat transfer in agitated vessels. </w:t>
      </w:r>
      <w:r>
        <w:rPr>
          <w:rFonts w:ascii="Arial" w:cs="Arial" w:eastAsia="Arial" w:hAnsi="Arial"/>
          <w:i/>
          <w:iCs/>
          <w:sz w:val="22"/>
          <w:szCs w:val="22"/>
        </w:rPr>
        <w:t xml:space="preserve">Chemical Engineering,</w:t>
      </w:r>
      <w:r>
        <w:rPr>
          <w:rFonts w:ascii="Arial" w:cs="Arial" w:eastAsia="Arial" w:hAnsi="Arial"/>
          <w:sz w:val="22"/>
          <w:szCs w:val="22"/>
        </w:rPr>
        <w:t xml:space="preserve"> 90(7), 62–71.</w:t>
      </w:r>
    </w:p>
    <w:p>
      <w:pPr>
        <w:spacing w:after="120" w:before="0"/>
      </w:pPr>
    </w:p>
    <w:p>
      <w:pPr>
        <w:spacing w:after="100" w:before="0"/>
      </w:pPr>
      <w:r>
        <w:rPr>
          <w:rFonts w:ascii="Arial" w:cs="Arial" w:eastAsia="Arial" w:hAnsi="Arial"/>
          <w:b/>
          <w:bCs/>
          <w:sz w:val="22"/>
          <w:szCs w:val="22"/>
        </w:rPr>
        <w:t xml:space="preserve">Garcia-Ochoa, F., Gomez, E. (2009). </w:t>
      </w:r>
      <w:r>
        <w:rPr>
          <w:rFonts w:ascii="Arial" w:cs="Arial" w:eastAsia="Arial" w:hAnsi="Arial"/>
          <w:sz w:val="22"/>
          <w:szCs w:val="22"/>
        </w:rPr>
        <w:t xml:space="preserve">Bioreactor scale-up and oxygen transfer rate in microbial processes: An overview. </w:t>
      </w:r>
      <w:r>
        <w:rPr>
          <w:rFonts w:ascii="Arial" w:cs="Arial" w:eastAsia="Arial" w:hAnsi="Arial"/>
          <w:i/>
          <w:iCs/>
          <w:sz w:val="22"/>
          <w:szCs w:val="22"/>
        </w:rPr>
        <w:t xml:space="preserve">Biotechnology Advances,</w:t>
      </w:r>
      <w:r>
        <w:rPr>
          <w:rFonts w:ascii="Arial" w:cs="Arial" w:eastAsia="Arial" w:hAnsi="Arial"/>
          <w:sz w:val="22"/>
          <w:szCs w:val="22"/>
        </w:rPr>
        <w:t xml:space="preserve"> 27(2), 153–176.</w:t>
      </w:r>
    </w:p>
    <w:p>
      <w:pPr>
        <w:spacing w:after="120" w:before="0"/>
      </w:pPr>
    </w:p>
    <w:p>
      <w:pPr>
        <w:spacing w:after="100" w:before="0"/>
      </w:pPr>
      <w:r>
        <w:rPr>
          <w:rFonts w:ascii="Arial" w:cs="Arial" w:eastAsia="Arial" w:hAnsi="Arial"/>
          <w:b/>
          <w:bCs/>
          <w:sz w:val="22"/>
          <w:szCs w:val="22"/>
        </w:rPr>
        <w:t xml:space="preserve">Hinze, J.O. (1975). </w:t>
      </w:r>
      <w:r>
        <w:rPr>
          <w:rFonts w:ascii="Arial" w:cs="Arial" w:eastAsia="Arial" w:hAnsi="Arial"/>
          <w:i/>
          <w:iCs/>
          <w:sz w:val="22"/>
          <w:szCs w:val="22"/>
        </w:rPr>
        <w:t xml:space="preserve">Turbulence, 2nd ed.</w:t>
      </w:r>
      <w:r>
        <w:rPr>
          <w:rFonts w:ascii="Arial" w:cs="Arial" w:eastAsia="Arial" w:hAnsi="Arial"/>
          <w:sz w:val="22"/>
          <w:szCs w:val="22"/>
        </w:rPr>
        <w:t xml:space="preserve"> McGraw-Hill, New York.</w:t>
      </w:r>
    </w:p>
    <w:p>
      <w:pPr>
        <w:spacing w:after="120" w:before="0"/>
      </w:pPr>
    </w:p>
    <w:p>
      <w:pPr>
        <w:spacing w:after="100" w:before="0"/>
      </w:pPr>
      <w:r>
        <w:rPr>
          <w:rFonts w:ascii="Arial" w:cs="Arial" w:eastAsia="Arial" w:hAnsi="Arial"/>
          <w:b/>
          <w:bCs/>
          <w:sz w:val="22"/>
          <w:szCs w:val="22"/>
        </w:rPr>
        <w:t xml:space="preserve">Kolmogorov, A.N. (1941). </w:t>
      </w:r>
      <w:r>
        <w:rPr>
          <w:rFonts w:ascii="Arial" w:cs="Arial" w:eastAsia="Arial" w:hAnsi="Arial"/>
          <w:sz w:val="22"/>
          <w:szCs w:val="22"/>
        </w:rPr>
        <w:t xml:space="preserve">The local structure of turbulence in incompressible viscous fluid for very large Reynolds numbers. </w:t>
      </w:r>
      <w:r>
        <w:rPr>
          <w:rFonts w:ascii="Arial" w:cs="Arial" w:eastAsia="Arial" w:hAnsi="Arial"/>
          <w:i/>
          <w:iCs/>
          <w:sz w:val="22"/>
          <w:szCs w:val="22"/>
        </w:rPr>
        <w:t xml:space="preserve">Doklady Akademii Nauk SSSR,</w:t>
      </w:r>
      <w:r>
        <w:rPr>
          <w:rFonts w:ascii="Arial" w:cs="Arial" w:eastAsia="Arial" w:hAnsi="Arial"/>
          <w:sz w:val="22"/>
          <w:szCs w:val="22"/>
        </w:rPr>
        <w:t xml:space="preserve"> 30, 299–303.</w:t>
      </w:r>
    </w:p>
    <w:p>
      <w:pPr>
        <w:spacing w:after="120" w:before="0"/>
      </w:pPr>
    </w:p>
    <w:p>
      <w:pPr>
        <w:spacing w:after="100" w:before="0"/>
      </w:pPr>
      <w:r>
        <w:rPr>
          <w:rFonts w:ascii="Arial" w:cs="Arial" w:eastAsia="Arial" w:hAnsi="Arial"/>
          <w:b/>
          <w:bCs/>
          <w:sz w:val="22"/>
          <w:szCs w:val="22"/>
        </w:rPr>
        <w:t xml:space="preserve">Krieger, I.M., Dougherty, T.J. (1959). </w:t>
      </w:r>
      <w:r>
        <w:rPr>
          <w:rFonts w:ascii="Arial" w:cs="Arial" w:eastAsia="Arial" w:hAnsi="Arial"/>
          <w:sz w:val="22"/>
          <w:szCs w:val="22"/>
        </w:rPr>
        <w:t xml:space="preserve">A mechanism for non-Newtonian flow in suspensions of rigid spheres. </w:t>
      </w:r>
      <w:r>
        <w:rPr>
          <w:rFonts w:ascii="Arial" w:cs="Arial" w:eastAsia="Arial" w:hAnsi="Arial"/>
          <w:i/>
          <w:iCs/>
          <w:sz w:val="22"/>
          <w:szCs w:val="22"/>
        </w:rPr>
        <w:t xml:space="preserve">Transactions of the Society of Rheology,</w:t>
      </w:r>
      <w:r>
        <w:rPr>
          <w:rFonts w:ascii="Arial" w:cs="Arial" w:eastAsia="Arial" w:hAnsi="Arial"/>
          <w:sz w:val="22"/>
          <w:szCs w:val="22"/>
        </w:rPr>
        <w:t xml:space="preserve"> 3(1), 137–152.</w:t>
      </w:r>
    </w:p>
    <w:p>
      <w:pPr>
        <w:spacing w:after="120" w:before="0"/>
      </w:pPr>
    </w:p>
    <w:p>
      <w:pPr>
        <w:spacing w:after="100" w:before="0"/>
      </w:pPr>
      <w:r>
        <w:rPr>
          <w:rFonts w:ascii="Arial" w:cs="Arial" w:eastAsia="Arial" w:hAnsi="Arial"/>
          <w:b/>
          <w:bCs/>
          <w:sz w:val="22"/>
          <w:szCs w:val="22"/>
        </w:rPr>
        <w:t xml:space="preserve">Metzner, A.B., Otto, R.E. (1957). </w:t>
      </w:r>
      <w:r>
        <w:rPr>
          <w:rFonts w:ascii="Arial" w:cs="Arial" w:eastAsia="Arial" w:hAnsi="Arial"/>
          <w:sz w:val="22"/>
          <w:szCs w:val="22"/>
        </w:rPr>
        <w:t xml:space="preserve">Agitation of non-Newtonian fluids. </w:t>
      </w:r>
      <w:r>
        <w:rPr>
          <w:rFonts w:ascii="Arial" w:cs="Arial" w:eastAsia="Arial" w:hAnsi="Arial"/>
          <w:i/>
          <w:iCs/>
          <w:sz w:val="22"/>
          <w:szCs w:val="22"/>
        </w:rPr>
        <w:t xml:space="preserve">AIChE Journal,</w:t>
      </w:r>
      <w:r>
        <w:rPr>
          <w:rFonts w:ascii="Arial" w:cs="Arial" w:eastAsia="Arial" w:hAnsi="Arial"/>
          <w:sz w:val="22"/>
          <w:szCs w:val="22"/>
        </w:rPr>
        <w:t xml:space="preserve"> 3(1), 3–10.</w:t>
      </w:r>
    </w:p>
    <w:p>
      <w:pPr>
        <w:spacing w:after="120" w:before="0"/>
      </w:pPr>
    </w:p>
    <w:p>
      <w:pPr>
        <w:spacing w:after="100" w:before="0"/>
      </w:pPr>
      <w:r>
        <w:rPr>
          <w:rFonts w:ascii="Arial" w:cs="Arial" w:eastAsia="Arial" w:hAnsi="Arial"/>
          <w:b/>
          <w:bCs/>
          <w:sz w:val="22"/>
          <w:szCs w:val="22"/>
        </w:rPr>
        <w:t xml:space="preserve">Michel, B.J., Miller, S.A. (1962). </w:t>
      </w:r>
      <w:r>
        <w:rPr>
          <w:rFonts w:ascii="Arial" w:cs="Arial" w:eastAsia="Arial" w:hAnsi="Arial"/>
          <w:sz w:val="22"/>
          <w:szCs w:val="22"/>
        </w:rPr>
        <w:t xml:space="preserve">Power requirements of gas-liquid agitated systems. </w:t>
      </w:r>
      <w:r>
        <w:rPr>
          <w:rFonts w:ascii="Arial" w:cs="Arial" w:eastAsia="Arial" w:hAnsi="Arial"/>
          <w:i/>
          <w:iCs/>
          <w:sz w:val="22"/>
          <w:szCs w:val="22"/>
        </w:rPr>
        <w:t xml:space="preserve">AIChE Journal,</w:t>
      </w:r>
      <w:r>
        <w:rPr>
          <w:rFonts w:ascii="Arial" w:cs="Arial" w:eastAsia="Arial" w:hAnsi="Arial"/>
          <w:sz w:val="22"/>
          <w:szCs w:val="22"/>
        </w:rPr>
        <w:t xml:space="preserve"> 8(2), 262–266.</w:t>
      </w:r>
    </w:p>
    <w:p>
      <w:pPr>
        <w:spacing w:after="120" w:before="0"/>
      </w:pPr>
    </w:p>
    <w:p>
      <w:pPr>
        <w:spacing w:after="100" w:before="0"/>
      </w:pPr>
      <w:r>
        <w:rPr>
          <w:rFonts w:ascii="Arial" w:cs="Arial" w:eastAsia="Arial" w:hAnsi="Arial"/>
          <w:b/>
          <w:bCs/>
          <w:sz w:val="22"/>
          <w:szCs w:val="22"/>
        </w:rPr>
        <w:t xml:space="preserve">Nienow, A.W. (1997). </w:t>
      </w:r>
      <w:r>
        <w:rPr>
          <w:rFonts w:ascii="Arial" w:cs="Arial" w:eastAsia="Arial" w:hAnsi="Arial"/>
          <w:sz w:val="22"/>
          <w:szCs w:val="22"/>
        </w:rPr>
        <w:t xml:space="preserve">On impeller circulation and mixing effectiveness in the turbulent flow regime. </w:t>
      </w:r>
      <w:r>
        <w:rPr>
          <w:rFonts w:ascii="Arial" w:cs="Arial" w:eastAsia="Arial" w:hAnsi="Arial"/>
          <w:i/>
          <w:iCs/>
          <w:sz w:val="22"/>
          <w:szCs w:val="22"/>
        </w:rPr>
        <w:t xml:space="preserve">Chemical Engineering Science,</w:t>
      </w:r>
      <w:r>
        <w:rPr>
          <w:rFonts w:ascii="Arial" w:cs="Arial" w:eastAsia="Arial" w:hAnsi="Arial"/>
          <w:sz w:val="22"/>
          <w:szCs w:val="22"/>
        </w:rPr>
        <w:t xml:space="preserve"> 52(15), 2557–2565.</w:t>
      </w:r>
    </w:p>
    <w:p>
      <w:pPr>
        <w:spacing w:after="120" w:before="0"/>
      </w:pPr>
    </w:p>
    <w:p>
      <w:pPr>
        <w:spacing w:after="100" w:before="0"/>
      </w:pPr>
      <w:r>
        <w:rPr>
          <w:rFonts w:ascii="Arial" w:cs="Arial" w:eastAsia="Arial" w:hAnsi="Arial"/>
          <w:b/>
          <w:bCs/>
          <w:sz w:val="22"/>
          <w:szCs w:val="22"/>
        </w:rPr>
        <w:t xml:space="preserve">Nienow, A.W. (1997). </w:t>
      </w:r>
      <w:r>
        <w:rPr>
          <w:rFonts w:ascii="Arial" w:cs="Arial" w:eastAsia="Arial" w:hAnsi="Arial"/>
          <w:sz w:val="22"/>
          <w:szCs w:val="22"/>
        </w:rPr>
        <w:t xml:space="preserve">The mixer as a reactor: Liquid/liquid systems. In: </w:t>
      </w:r>
      <w:r>
        <w:rPr>
          <w:rFonts w:ascii="Arial" w:cs="Arial" w:eastAsia="Arial" w:hAnsi="Arial"/>
          <w:i/>
          <w:iCs/>
          <w:sz w:val="22"/>
          <w:szCs w:val="22"/>
        </w:rPr>
        <w:t xml:space="preserve">Mixing in the Process Industries.</w:t>
      </w:r>
      <w:r>
        <w:rPr>
          <w:rFonts w:ascii="Arial" w:cs="Arial" w:eastAsia="Arial" w:hAnsi="Arial"/>
          <w:sz w:val="22"/>
          <w:szCs w:val="22"/>
        </w:rPr>
        <w:t xml:space="preserve"> Butterworth-Heinemann.</w:t>
      </w:r>
    </w:p>
    <w:p>
      <w:pPr>
        <w:spacing w:after="120" w:before="0"/>
      </w:pPr>
    </w:p>
    <w:p>
      <w:pPr>
        <w:spacing w:after="100" w:before="0"/>
      </w:pPr>
      <w:r>
        <w:rPr>
          <w:rFonts w:ascii="Arial" w:cs="Arial" w:eastAsia="Arial" w:hAnsi="Arial"/>
          <w:b/>
          <w:bCs/>
          <w:sz w:val="22"/>
          <w:szCs w:val="22"/>
        </w:rPr>
        <w:t xml:space="preserve">Nienow, A.W. (1998). </w:t>
      </w:r>
      <w:r>
        <w:rPr>
          <w:rFonts w:ascii="Arial" w:cs="Arial" w:eastAsia="Arial" w:hAnsi="Arial"/>
          <w:sz w:val="22"/>
          <w:szCs w:val="22"/>
        </w:rPr>
        <w:t xml:space="preserve">Hydrodynamics of stirred bioreactors. </w:t>
      </w:r>
      <w:r>
        <w:rPr>
          <w:rFonts w:ascii="Arial" w:cs="Arial" w:eastAsia="Arial" w:hAnsi="Arial"/>
          <w:i/>
          <w:iCs/>
          <w:sz w:val="22"/>
          <w:szCs w:val="22"/>
        </w:rPr>
        <w:t xml:space="preserve">Applied Mechanics Reviews,</w:t>
      </w:r>
      <w:r>
        <w:rPr>
          <w:rFonts w:ascii="Arial" w:cs="Arial" w:eastAsia="Arial" w:hAnsi="Arial"/>
          <w:sz w:val="22"/>
          <w:szCs w:val="22"/>
        </w:rPr>
        <w:t xml:space="preserve"> 51(1), 3–32.</w:t>
      </w:r>
    </w:p>
    <w:p>
      <w:pPr>
        <w:spacing w:after="120" w:before="0"/>
      </w:pPr>
    </w:p>
    <w:p>
      <w:pPr>
        <w:spacing w:after="100" w:before="0"/>
      </w:pPr>
      <w:r>
        <w:rPr>
          <w:rFonts w:ascii="Arial" w:cs="Arial" w:eastAsia="Arial" w:hAnsi="Arial"/>
          <w:b/>
          <w:bCs/>
          <w:sz w:val="22"/>
          <w:szCs w:val="22"/>
        </w:rPr>
        <w:t xml:space="preserve">Paul, E.L., Atiemo-Obeng, V.A., Kresta, S.M. (2004). </w:t>
      </w:r>
      <w:r>
        <w:rPr>
          <w:rFonts w:ascii="Arial" w:cs="Arial" w:eastAsia="Arial" w:hAnsi="Arial"/>
          <w:i/>
          <w:iCs/>
          <w:sz w:val="22"/>
          <w:szCs w:val="22"/>
        </w:rPr>
        <w:t xml:space="preserve">Handbook of Industrial Mixing: Science and Practice.</w:t>
      </w:r>
      <w:r>
        <w:rPr>
          <w:rFonts w:ascii="Arial" w:cs="Arial" w:eastAsia="Arial" w:hAnsi="Arial"/>
          <w:sz w:val="22"/>
          <w:szCs w:val="22"/>
        </w:rPr>
        <w:t xml:space="preserve"> Wiley-Interscience, Hoboken, NJ.</w:t>
      </w:r>
    </w:p>
    <w:p>
      <w:pPr>
        <w:spacing w:after="120" w:before="0"/>
      </w:pPr>
    </w:p>
    <w:p>
      <w:pPr>
        <w:spacing w:after="100" w:before="0"/>
      </w:pPr>
      <w:r>
        <w:rPr>
          <w:rFonts w:ascii="Arial" w:cs="Arial" w:eastAsia="Arial" w:hAnsi="Arial"/>
          <w:b/>
          <w:bCs/>
          <w:sz w:val="22"/>
          <w:szCs w:val="22"/>
        </w:rPr>
        <w:t xml:space="preserve">Rushton, J.H., Costich, E.W., Everett, H.J. (1950). </w:t>
      </w:r>
      <w:r>
        <w:rPr>
          <w:rFonts w:ascii="Arial" w:cs="Arial" w:eastAsia="Arial" w:hAnsi="Arial"/>
          <w:sz w:val="22"/>
          <w:szCs w:val="22"/>
        </w:rPr>
        <w:t xml:space="preserve">Power characteristics of mixing impellers. </w:t>
      </w:r>
      <w:r>
        <w:rPr>
          <w:rFonts w:ascii="Arial" w:cs="Arial" w:eastAsia="Arial" w:hAnsi="Arial"/>
          <w:i/>
          <w:iCs/>
          <w:sz w:val="22"/>
          <w:szCs w:val="22"/>
        </w:rPr>
        <w:t xml:space="preserve">Chemical Engineering Progress,</w:t>
      </w:r>
      <w:r>
        <w:rPr>
          <w:rFonts w:ascii="Arial" w:cs="Arial" w:eastAsia="Arial" w:hAnsi="Arial"/>
          <w:sz w:val="22"/>
          <w:szCs w:val="22"/>
        </w:rPr>
        <w:t xml:space="preserve"> 46(8), 395–404.</w:t>
      </w:r>
    </w:p>
    <w:p>
      <w:pPr>
        <w:spacing w:after="120" w:before="0"/>
      </w:pPr>
    </w:p>
    <w:p>
      <w:pPr>
        <w:spacing w:after="100" w:before="0"/>
      </w:pPr>
      <w:r>
        <w:rPr>
          <w:rFonts w:ascii="Arial" w:cs="Arial" w:eastAsia="Arial" w:hAnsi="Arial"/>
          <w:b/>
          <w:bCs/>
          <w:sz w:val="22"/>
          <w:szCs w:val="22"/>
        </w:rPr>
        <w:t xml:space="preserve">Stitt, E.H. (2002). </w:t>
      </w:r>
      <w:r>
        <w:rPr>
          <w:rFonts w:ascii="Arial" w:cs="Arial" w:eastAsia="Arial" w:hAnsi="Arial"/>
          <w:sz w:val="22"/>
          <w:szCs w:val="22"/>
        </w:rPr>
        <w:t xml:space="preserve">Alternative multiphase reactors for fine chemicals: A world beyond stirred tanks? </w:t>
      </w:r>
      <w:r>
        <w:rPr>
          <w:rFonts w:ascii="Arial" w:cs="Arial" w:eastAsia="Arial" w:hAnsi="Arial"/>
          <w:i/>
          <w:iCs/>
          <w:sz w:val="22"/>
          <w:szCs w:val="22"/>
        </w:rPr>
        <w:t xml:space="preserve">Chemical Engineering Journal,</w:t>
      </w:r>
      <w:r>
        <w:rPr>
          <w:rFonts w:ascii="Arial" w:cs="Arial" w:eastAsia="Arial" w:hAnsi="Arial"/>
          <w:sz w:val="22"/>
          <w:szCs w:val="22"/>
        </w:rPr>
        <w:t xml:space="preserve"> 90(1-2), 47–60.</w:t>
      </w:r>
    </w:p>
    <w:p>
      <w:pPr>
        <w:spacing w:after="120" w:before="0"/>
      </w:pPr>
    </w:p>
    <w:p>
      <w:pPr>
        <w:spacing w:after="100" w:before="0"/>
      </w:pPr>
      <w:r>
        <w:rPr>
          <w:rFonts w:ascii="Arial" w:cs="Arial" w:eastAsia="Arial" w:hAnsi="Arial"/>
          <w:b/>
          <w:bCs/>
          <w:sz w:val="22"/>
          <w:szCs w:val="22"/>
        </w:rPr>
        <w:t xml:space="preserve">Tatterson, G.B. (1991). </w:t>
      </w:r>
      <w:r>
        <w:rPr>
          <w:rFonts w:ascii="Arial" w:cs="Arial" w:eastAsia="Arial" w:hAnsi="Arial"/>
          <w:i/>
          <w:iCs/>
          <w:sz w:val="22"/>
          <w:szCs w:val="22"/>
        </w:rPr>
        <w:t xml:space="preserve">Fluid Mixing and Gas Dispersion in Agitated Tanks.</w:t>
      </w:r>
      <w:r>
        <w:rPr>
          <w:rFonts w:ascii="Arial" w:cs="Arial" w:eastAsia="Arial" w:hAnsi="Arial"/>
          <w:sz w:val="22"/>
          <w:szCs w:val="22"/>
        </w:rPr>
        <w:t xml:space="preserve"> McGraw-Hill, New York.</w:t>
      </w:r>
    </w:p>
    <w:p>
      <w:pPr>
        <w:spacing w:after="120" w:before="0"/>
      </w:pPr>
    </w:p>
    <w:p>
      <w:pPr>
        <w:spacing w:after="100" w:before="0"/>
      </w:pPr>
      <w:r>
        <w:rPr>
          <w:rFonts w:ascii="Arial" w:cs="Arial" w:eastAsia="Arial" w:hAnsi="Arial"/>
          <w:b/>
          <w:bCs/>
          <w:sz w:val="22"/>
          <w:szCs w:val="22"/>
        </w:rPr>
        <w:t xml:space="preserve">Uhl, V.W., Gray, J.B. (1966). </w:t>
      </w:r>
      <w:r>
        <w:rPr>
          <w:rFonts w:ascii="Arial" w:cs="Arial" w:eastAsia="Arial" w:hAnsi="Arial"/>
          <w:i/>
          <w:iCs/>
          <w:sz w:val="22"/>
          <w:szCs w:val="22"/>
        </w:rPr>
        <w:t xml:space="preserve">Mixing: Theory and Practice, Vol. 1.</w:t>
      </w:r>
      <w:r>
        <w:rPr>
          <w:rFonts w:ascii="Arial" w:cs="Arial" w:eastAsia="Arial" w:hAnsi="Arial"/>
          <w:sz w:val="22"/>
          <w:szCs w:val="22"/>
        </w:rPr>
        <w:t xml:space="preserve"> Academic Press, New York.</w:t>
      </w:r>
    </w:p>
    <w:p>
      <w:pPr>
        <w:spacing w:after="120" w:before="0"/>
      </w:pPr>
    </w:p>
    <w:p>
      <w:pPr>
        <w:spacing w:after="100" w:before="0"/>
      </w:pPr>
      <w:r>
        <w:rPr>
          <w:rFonts w:ascii="Arial" w:cs="Arial" w:eastAsia="Arial" w:hAnsi="Arial"/>
          <w:b/>
          <w:bCs/>
          <w:sz w:val="22"/>
          <w:szCs w:val="22"/>
        </w:rPr>
        <w:t xml:space="preserve">van’t Riet, K. (1979). </w:t>
      </w:r>
      <w:r>
        <w:rPr>
          <w:rFonts w:ascii="Arial" w:cs="Arial" w:eastAsia="Arial" w:hAnsi="Arial"/>
          <w:sz w:val="22"/>
          <w:szCs w:val="22"/>
        </w:rPr>
        <w:t xml:space="preserve">Review of measuring methods and results in nonviscous gas-liquid mass transfer in stirred vessels. </w:t>
      </w:r>
      <w:r>
        <w:rPr>
          <w:rFonts w:ascii="Arial" w:cs="Arial" w:eastAsia="Arial" w:hAnsi="Arial"/>
          <w:i/>
          <w:iCs/>
          <w:sz w:val="22"/>
          <w:szCs w:val="22"/>
        </w:rPr>
        <w:t xml:space="preserve">Industrial &amp; Engineering Chemistry Process Design and Development,</w:t>
      </w:r>
      <w:r>
        <w:rPr>
          <w:rFonts w:ascii="Arial" w:cs="Arial" w:eastAsia="Arial" w:hAnsi="Arial"/>
          <w:sz w:val="22"/>
          <w:szCs w:val="22"/>
        </w:rPr>
        <w:t xml:space="preserve"> 18(3), 357–364.</w:t>
      </w:r>
    </w:p>
    <w:p>
      <w:pPr>
        <w:spacing w:after="120" w:before="0"/>
      </w:pPr>
    </w:p>
    <w:p>
      <w:pPr>
        <w:spacing w:after="100" w:before="0"/>
      </w:pPr>
      <w:r>
        <w:rPr>
          <w:rFonts w:ascii="Arial" w:cs="Arial" w:eastAsia="Arial" w:hAnsi="Arial"/>
          <w:b/>
          <w:bCs/>
          <w:sz w:val="22"/>
          <w:szCs w:val="22"/>
        </w:rPr>
        <w:t xml:space="preserve">van’t Riet, K., Tramper, J. (1991). </w:t>
      </w:r>
      <w:r>
        <w:rPr>
          <w:rFonts w:ascii="Arial" w:cs="Arial" w:eastAsia="Arial" w:hAnsi="Arial"/>
          <w:i/>
          <w:iCs/>
          <w:sz w:val="22"/>
          <w:szCs w:val="22"/>
        </w:rPr>
        <w:t xml:space="preserve">Basic Bioreactor Design.</w:t>
      </w:r>
      <w:r>
        <w:rPr>
          <w:rFonts w:ascii="Arial" w:cs="Arial" w:eastAsia="Arial" w:hAnsi="Arial"/>
          <w:sz w:val="22"/>
          <w:szCs w:val="22"/>
        </w:rPr>
        <w:t xml:space="preserve"> Marcel Dekker, New York.</w:t>
      </w:r>
    </w:p>
    <w:p>
      <w:pPr>
        <w:spacing w:after="120" w:before="0"/>
      </w:pPr>
    </w:p>
    <w:p>
      <w:pPr>
        <w:spacing w:after="100" w:before="0"/>
      </w:pPr>
      <w:r>
        <w:rPr>
          <w:rFonts w:ascii="Arial" w:cs="Arial" w:eastAsia="Arial" w:hAnsi="Arial"/>
          <w:b/>
          <w:bCs/>
          <w:sz w:val="22"/>
          <w:szCs w:val="22"/>
        </w:rPr>
        <w:t xml:space="preserve">Wichterle, K., Wein, O. (1981). </w:t>
      </w:r>
      <w:r>
        <w:rPr>
          <w:rFonts w:ascii="Arial" w:cs="Arial" w:eastAsia="Arial" w:hAnsi="Arial"/>
          <w:sz w:val="22"/>
          <w:szCs w:val="22"/>
        </w:rPr>
        <w:t xml:space="preserve">Threshold of mixing of non-Newtonian liquids. </w:t>
      </w:r>
      <w:r>
        <w:rPr>
          <w:rFonts w:ascii="Arial" w:cs="Arial" w:eastAsia="Arial" w:hAnsi="Arial"/>
          <w:i/>
          <w:iCs/>
          <w:sz w:val="22"/>
          <w:szCs w:val="22"/>
        </w:rPr>
        <w:t xml:space="preserve">International Chemical Engineering,</w:t>
      </w:r>
      <w:r>
        <w:rPr>
          <w:rFonts w:ascii="Arial" w:cs="Arial" w:eastAsia="Arial" w:hAnsi="Arial"/>
          <w:sz w:val="22"/>
          <w:szCs w:val="22"/>
        </w:rPr>
        <w:t xml:space="preserve"> 21(1), 116–120.</w:t>
      </w:r>
    </w:p>
    <w:p>
      <w:pPr>
        <w:spacing w:after="120" w:before="0"/>
      </w:pPr>
    </w:p>
    <w:p>
      <w:pPr>
        <w:spacing w:after="100" w:before="0"/>
      </w:pPr>
      <w:r>
        <w:rPr>
          <w:rFonts w:ascii="Arial" w:cs="Arial" w:eastAsia="Arial" w:hAnsi="Arial"/>
          <w:b/>
          <w:bCs/>
          <w:sz w:val="22"/>
          <w:szCs w:val="22"/>
        </w:rPr>
        <w:t xml:space="preserve">Zwietering, T.N. (1958). </w:t>
      </w:r>
      <w:r>
        <w:rPr>
          <w:rFonts w:ascii="Arial" w:cs="Arial" w:eastAsia="Arial" w:hAnsi="Arial"/>
          <w:sz w:val="22"/>
          <w:szCs w:val="22"/>
        </w:rPr>
        <w:t xml:space="preserve">Suspending of solid particles in liquid by agitators. </w:t>
      </w:r>
      <w:r>
        <w:rPr>
          <w:rFonts w:ascii="Arial" w:cs="Arial" w:eastAsia="Arial" w:hAnsi="Arial"/>
          <w:i/>
          <w:iCs/>
          <w:sz w:val="22"/>
          <w:szCs w:val="22"/>
        </w:rPr>
        <w:t xml:space="preserve">Chemical Engineering Science,</w:t>
      </w:r>
      <w:r>
        <w:rPr>
          <w:rFonts w:ascii="Arial" w:cs="Arial" w:eastAsia="Arial" w:hAnsi="Arial"/>
          <w:sz w:val="22"/>
          <w:szCs w:val="22"/>
        </w:rPr>
        <w:t xml:space="preserve"> 8(3-4), 244–253.</w:t>
      </w:r>
    </w:p>
    <w:sectPr>
      <w:footerReference w:type="default" r:id="rId7"/>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Mixing Scale-Up Toolkit — Technical Reference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FA6"/>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C2C2C"/>
      <w:sz w:val="24"/>
      <w:szCs w:val="24"/>
    </w:rPr>
  </w:style>
  <w:style w:type="paragraph" w:styleId="Heading3">
    <w:name w:val="Heading 3"/>
    <w:basedOn w:val="Normal"/>
    <w:next w:val="Normal"/>
    <w:qFormat/>
    <w:pPr>
      <w:spacing w:after="6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2026-04-16T13:47:55.982Z</dcterms:created>
  <dcterms:modified xsi:type="dcterms:W3CDTF">2026-04-16T13:47:55.982Z</dcterms:modified>
</cp:coreProperties>
</file>

<file path=docProps/custom.xml><?xml version="1.0" encoding="utf-8"?>
<Properties xmlns="http://schemas.openxmlformats.org/officeDocument/2006/custom-properties" xmlns:vt="http://schemas.openxmlformats.org/officeDocument/2006/docPropsVTypes"/>
</file>