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ay-vasc-regenerative-loop"/>
    <w:p>
      <w:pPr>
        <w:pStyle w:val="Heading1"/>
      </w:pPr>
      <w:r>
        <w:t xml:space="preserve">RAY-VASC Regenerative Loop</w:t>
      </w:r>
    </w:p>
    <w:p>
      <w:pPr>
        <w:pStyle w:val="FirstParagraph"/>
      </w:pPr>
      <w:r>
        <w:rPr>
          <w:b/>
          <w:bCs/>
        </w:rPr>
        <w:t xml:space="preserve">Speculative open-source neuroplasticity research framework for N-of-1 to cohort implementation, data capture, and publication.</w:t>
      </w:r>
    </w:p>
    <w:p>
      <w:pPr>
        <w:pStyle w:val="BodyText"/>
      </w:pPr>
      <w:r>
        <w:t xml:space="preserve">RAY-VASC Regenerative Loop is a public research architecture built from the care journey of</w:t>
      </w:r>
      <w:r>
        <w:t xml:space="preserve"> </w:t>
      </w:r>
      <w:r>
        <w:rPr>
          <w:b/>
          <w:bCs/>
        </w:rPr>
        <w:t xml:space="preserve">Raymond A. Hornsby</w:t>
      </w:r>
      <w:r>
        <w:t xml:space="preserve">, whose complex neurodegenerative, vascular, sleep, respiratory, and functional decline led to the development of this protocol system.</w:t>
      </w:r>
    </w:p>
    <w:p>
      <w:pPr>
        <w:pStyle w:val="BodyText"/>
      </w:pPr>
      <w:r>
        <w:t xml:space="preserve">This repository exists to move the work from private notes into a reproducible public framework: protocols, forms, schemas, analysis templates, evidence maps, and publication-ready documentation that qualified clinicians, researchers, operators, and regulated facilities can adapt inside lawful governance.</w:t>
      </w:r>
    </w:p>
    <w:p>
      <w:pPr>
        <w:pStyle w:val="BodyText"/>
      </w:pPr>
      <w:r>
        <w:rPr>
          <w:b/>
          <w:bCs/>
        </w:rPr>
        <w:t xml:space="preserve">Originating researcher:</w:t>
      </w:r>
      <w:r>
        <w:t xml:space="preserve"> </w:t>
      </w:r>
      <w:r>
        <w:t xml:space="preserve">Logan Henderson</w:t>
      </w:r>
      <w:r>
        <w:br/>
      </w:r>
      <w:r>
        <w:rPr>
          <w:b/>
          <w:bCs/>
        </w:rPr>
        <w:t xml:space="preserve">Originating case inspiration:</w:t>
      </w:r>
      <w:r>
        <w:t xml:space="preserve"> </w:t>
      </w:r>
      <w:r>
        <w:t xml:space="preserve">Raymond A. Hornsby</w:t>
      </w:r>
      <w:r>
        <w:br/>
      </w:r>
      <w:r>
        <w:rPr>
          <w:b/>
          <w:bCs/>
        </w:rPr>
        <w:t xml:space="preserve">Frameworks:</w:t>
      </w:r>
      <w:r>
        <w:t xml:space="preserve"> </w:t>
      </w:r>
      <w:r>
        <w:t xml:space="preserve">RAY-VASC, Regenerative Loop, APPRE, 3-Phase Plasticity Architecture</w:t>
      </w:r>
      <w:r>
        <w:br/>
      </w:r>
      <w:r>
        <w:rPr>
          <w:b/>
          <w:bCs/>
        </w:rPr>
        <w:t xml:space="preserve">Version:</w:t>
      </w:r>
      <w:r>
        <w:t xml:space="preserve"> </w:t>
      </w:r>
      <w:r>
        <w:t xml:space="preserve">0.2.0</w:t>
      </w:r>
      <w:r>
        <w:br/>
      </w:r>
      <w:r>
        <w:rPr>
          <w:b/>
          <w:bCs/>
        </w:rPr>
        <w:t xml:space="preserve">Status:</w:t>
      </w:r>
      <w:r>
        <w:t xml:space="preserve"> </w:t>
      </w:r>
      <w:r>
        <w:t xml:space="preserve">Speculative / hypothesis-generating / protocol-stage</w:t>
      </w:r>
      <w:r>
        <w:br/>
      </w:r>
      <w:r>
        <w:rPr>
          <w:b/>
          <w:bCs/>
        </w:rPr>
        <w:t xml:space="preserve">Date:</w:t>
      </w:r>
      <w:r>
        <w:t xml:space="preserve"> </w:t>
      </w:r>
      <w:r>
        <w:t xml:space="preserve">2026-06-06</w:t>
      </w:r>
    </w:p>
    <w:p>
      <w:r>
        <w:pict>
          <v:rect style="width:0;height:1.5pt" o:hralign="center" o:hrstd="t" o:hr="t"/>
        </w:pict>
      </w:r>
    </w:p>
    <w:bookmarkStart w:id="20" w:name="core-position"/>
    <w:p>
      <w:pPr>
        <w:pStyle w:val="Heading2"/>
      </w:pPr>
      <w:r>
        <w:t xml:space="preserve">Core Position</w:t>
      </w:r>
    </w:p>
    <w:p>
      <w:pPr>
        <w:pStyle w:val="FirstParagraph"/>
      </w:pPr>
      <w:r>
        <w:t xml:space="preserve">This repository does</w:t>
      </w:r>
      <w:r>
        <w:t xml:space="preserve"> </w:t>
      </w:r>
      <w:r>
        <w:rPr>
          <w:b/>
          <w:bCs/>
        </w:rPr>
        <w:t xml:space="preserve">not</w:t>
      </w:r>
      <w:r>
        <w:t xml:space="preserve"> </w:t>
      </w:r>
      <w:r>
        <w:t xml:space="preserve">claim disease cure, disease reversal, unsupervised treatment, or clinical efficacy.</w:t>
      </w:r>
    </w:p>
    <w:p>
      <w:pPr>
        <w:pStyle w:val="BodyText"/>
      </w:pPr>
      <w:r>
        <w:t xml:space="preserve">This repository does claim that the existing research architecture is worth publishing, reviewing, testing, and improving.</w:t>
      </w:r>
    </w:p>
    <w:p>
      <w:pPr>
        <w:pStyle w:val="BodyText"/>
      </w:pPr>
      <w:r>
        <w:t xml:space="preserve">RAY-VASC is designed to help teams record measurable changes across:</w:t>
      </w:r>
    </w:p>
    <w:p>
      <w:pPr>
        <w:pStyle w:val="Compact"/>
        <w:numPr>
          <w:ilvl w:val="0"/>
          <w:numId w:val="1001"/>
        </w:numPr>
      </w:pPr>
      <w:r>
        <w:t xml:space="preserve">Cognition</w:t>
      </w:r>
    </w:p>
    <w:p>
      <w:pPr>
        <w:pStyle w:val="Compact"/>
        <w:numPr>
          <w:ilvl w:val="0"/>
          <w:numId w:val="1001"/>
        </w:numPr>
      </w:pPr>
      <w:r>
        <w:t xml:space="preserve">Motor function</w:t>
      </w:r>
    </w:p>
    <w:p>
      <w:pPr>
        <w:pStyle w:val="Compact"/>
        <w:numPr>
          <w:ilvl w:val="0"/>
          <w:numId w:val="1001"/>
        </w:numPr>
      </w:pPr>
      <w:r>
        <w:t xml:space="preserve">Mood</w:t>
      </w:r>
    </w:p>
    <w:p>
      <w:pPr>
        <w:pStyle w:val="Compact"/>
        <w:numPr>
          <w:ilvl w:val="0"/>
          <w:numId w:val="1001"/>
        </w:numPr>
      </w:pPr>
      <w:r>
        <w:t xml:space="preserve">Sleep</w:t>
      </w:r>
    </w:p>
    <w:p>
      <w:pPr>
        <w:pStyle w:val="Compact"/>
        <w:numPr>
          <w:ilvl w:val="0"/>
          <w:numId w:val="1001"/>
        </w:numPr>
      </w:pPr>
      <w:r>
        <w:t xml:space="preserve">Respiratory status</w:t>
      </w:r>
    </w:p>
    <w:p>
      <w:pPr>
        <w:pStyle w:val="Compact"/>
        <w:numPr>
          <w:ilvl w:val="0"/>
          <w:numId w:val="1001"/>
        </w:numPr>
      </w:pPr>
      <w:r>
        <w:t xml:space="preserve">Vascular safety</w:t>
      </w:r>
    </w:p>
    <w:p>
      <w:pPr>
        <w:pStyle w:val="Compact"/>
        <w:numPr>
          <w:ilvl w:val="0"/>
          <w:numId w:val="1001"/>
        </w:numPr>
      </w:pPr>
      <w:r>
        <w:t xml:space="preserve">Daily function</w:t>
      </w:r>
    </w:p>
    <w:p>
      <w:pPr>
        <w:pStyle w:val="Compact"/>
        <w:numPr>
          <w:ilvl w:val="0"/>
          <w:numId w:val="1001"/>
        </w:numPr>
      </w:pPr>
      <w:r>
        <w:t xml:space="preserve">Adverse events</w:t>
      </w:r>
    </w:p>
    <w:p>
      <w:pPr>
        <w:pStyle w:val="Compact"/>
        <w:numPr>
          <w:ilvl w:val="0"/>
          <w:numId w:val="1001"/>
        </w:numPr>
      </w:pPr>
      <w:r>
        <w:t xml:space="preserve">Biomarkers</w:t>
      </w:r>
    </w:p>
    <w:p>
      <w:pPr>
        <w:pStyle w:val="Compact"/>
        <w:numPr>
          <w:ilvl w:val="0"/>
          <w:numId w:val="1001"/>
        </w:numPr>
      </w:pPr>
      <w:r>
        <w:t xml:space="preserve">EEG / neurophysiology where available</w:t>
      </w:r>
    </w:p>
    <w:p>
      <w:pPr>
        <w:pStyle w:val="Compact"/>
        <w:numPr>
          <w:ilvl w:val="0"/>
          <w:numId w:val="1001"/>
        </w:numPr>
      </w:pPr>
      <w:r>
        <w:t xml:space="preserve">Confounders and adherence</w:t>
      </w:r>
    </w:p>
    <w:p>
      <w:pPr>
        <w:pStyle w:val="FirstParagraph"/>
      </w:pPr>
      <w:r>
        <w:t xml:space="preserve">The goal is to convert speculative neuroplasticity theory into structured data, reproducible protocols, and publishable signals.</w:t>
      </w:r>
    </w:p>
    <w:p>
      <w:r>
        <w:pict>
          <v:rect style="width:0;height:1.5pt" o:hralign="center" o:hrstd="t" o:hr="t"/>
        </w:pict>
      </w:r>
    </w:p>
    <w:bookmarkEnd w:id="20"/>
    <w:bookmarkStart w:id="21" w:name="the-human-origin"/>
    <w:p>
      <w:pPr>
        <w:pStyle w:val="Heading2"/>
      </w:pPr>
      <w:r>
        <w:t xml:space="preserve">The Human Origin</w:t>
      </w:r>
    </w:p>
    <w:p>
      <w:pPr>
        <w:pStyle w:val="FirstParagraph"/>
      </w:pPr>
      <w:r>
        <w:t xml:space="preserve">This work began through the effort to help</w:t>
      </w:r>
      <w:r>
        <w:t xml:space="preserve"> </w:t>
      </w:r>
      <w:r>
        <w:rPr>
          <w:b/>
          <w:bCs/>
        </w:rPr>
        <w:t xml:space="preserve">Raymond A. Hornsby</w:t>
      </w:r>
      <w:r>
        <w:t xml:space="preserve">, my uncle by marriage.</w:t>
      </w:r>
    </w:p>
    <w:p>
      <w:pPr>
        <w:pStyle w:val="BodyText"/>
      </w:pPr>
      <w:r>
        <w:t xml:space="preserve">Ray’s condition forced a deeper question:</w:t>
      </w:r>
    </w:p>
    <w:p>
      <w:pPr>
        <w:pStyle w:val="BlockText"/>
      </w:pPr>
      <w:r>
        <w:t xml:space="preserve">If advanced neurological decline reflects not only lost tissue, but also inaccessible residual network capacity, can carefully governed neuroplasticity windows, mycological support, sleep repair, exertion, circadian alignment, social safety, and structured measurement reveal functional signal worth studying?</w:t>
      </w:r>
    </w:p>
    <w:p>
      <w:pPr>
        <w:pStyle w:val="FirstParagraph"/>
      </w:pPr>
      <w:r>
        <w:t xml:space="preserve">That question became RAY-VASC.</w:t>
      </w:r>
    </w:p>
    <w:p>
      <w:pPr>
        <w:pStyle w:val="BodyText"/>
      </w:pPr>
      <w:r>
        <w:t xml:space="preserve">Ray’s name is credited here with respect. Public materials should not include private identifiers, raw medical records, MRNs, dates of birth, addresses, or identifiable clinical documents unless proper written consent, privacy review, and publication governance are complete.</w:t>
      </w:r>
    </w:p>
    <w:p>
      <w:r>
        <w:pict>
          <v:rect style="width:0;height:1.5pt" o:hralign="center" o:hrstd="t" o:hr="t"/>
        </w:pict>
      </w:r>
    </w:p>
    <w:bookmarkEnd w:id="21"/>
    <w:bookmarkStart w:id="22" w:name="core-thesis"/>
    <w:p>
      <w:pPr>
        <w:pStyle w:val="Heading2"/>
      </w:pPr>
      <w:r>
        <w:t xml:space="preserve">Core Thesis</w:t>
      </w:r>
    </w:p>
    <w:p>
      <w:pPr>
        <w:pStyle w:val="FirstParagraph"/>
      </w:pPr>
      <w:r>
        <w:t xml:space="preserve">The Regenerative Loop model proposes that neurological decline and recovery capacity are shaped by interacting daily biological loops:</w:t>
      </w:r>
    </w:p>
    <w:p>
      <w:pPr>
        <w:pStyle w:val="Compact"/>
        <w:numPr>
          <w:ilvl w:val="0"/>
          <w:numId w:val="1002"/>
        </w:numPr>
      </w:pPr>
      <w:r>
        <w:rPr>
          <w:b/>
          <w:bCs/>
        </w:rPr>
        <w:t xml:space="preserve">Exertion</w:t>
      </w:r>
      <w:r>
        <w:t xml:space="preserve"> </w:t>
      </w:r>
      <w:r>
        <w:t xml:space="preserve">— graded physical and cognitive effort that generates adaptive demand.</w:t>
      </w:r>
    </w:p>
    <w:p>
      <w:pPr>
        <w:pStyle w:val="Compact"/>
        <w:numPr>
          <w:ilvl w:val="0"/>
          <w:numId w:val="1002"/>
        </w:numPr>
      </w:pPr>
      <w:r>
        <w:rPr>
          <w:b/>
          <w:bCs/>
        </w:rPr>
        <w:t xml:space="preserve">Light</w:t>
      </w:r>
      <w:r>
        <w:t xml:space="preserve"> </w:t>
      </w:r>
      <w:r>
        <w:t xml:space="preserve">— circadian timing and neuroendocrine alignment.</w:t>
      </w:r>
    </w:p>
    <w:p>
      <w:pPr>
        <w:pStyle w:val="Compact"/>
        <w:numPr>
          <w:ilvl w:val="0"/>
          <w:numId w:val="1002"/>
        </w:numPr>
      </w:pPr>
      <w:r>
        <w:rPr>
          <w:b/>
          <w:bCs/>
        </w:rPr>
        <w:t xml:space="preserve">Sleep</w:t>
      </w:r>
      <w:r>
        <w:t xml:space="preserve"> </w:t>
      </w:r>
      <w:r>
        <w:t xml:space="preserve">— repair, memory consolidation, and clearance.</w:t>
      </w:r>
    </w:p>
    <w:p>
      <w:pPr>
        <w:pStyle w:val="Compact"/>
        <w:numPr>
          <w:ilvl w:val="0"/>
          <w:numId w:val="1002"/>
        </w:numPr>
      </w:pPr>
      <w:r>
        <w:rPr>
          <w:b/>
          <w:bCs/>
        </w:rPr>
        <w:t xml:space="preserve">Love / Social Safety</w:t>
      </w:r>
      <w:r>
        <w:t xml:space="preserve"> </w:t>
      </w:r>
      <w:r>
        <w:t xml:space="preserve">— stress buffering, adherence, meaning, and cognitive reserve.</w:t>
      </w:r>
    </w:p>
    <w:p>
      <w:pPr>
        <w:pStyle w:val="FirstParagraph"/>
      </w:pPr>
      <w:r>
        <w:t xml:space="preserve">APPRE — the Algorithmic Personalization Predictive Response Engine — extends the model into a closed-loop framework:</w:t>
      </w:r>
    </w:p>
    <w:p>
      <w:pPr>
        <w:pStyle w:val="SourceCode"/>
      </w:pPr>
      <w:r>
        <w:rPr>
          <w:rStyle w:val="VerbatimChar"/>
        </w:rPr>
        <w:t xml:space="preserve">Subject Profile → Intervention Inputs → Outcomes → Updated Response Policy</w:t>
      </w:r>
    </w:p>
    <w:p>
      <w:pPr>
        <w:pStyle w:val="FirstParagraph"/>
      </w:pPr>
      <w:r>
        <w:t xml:space="preserve">The central research claim is not that one compound or one session fixes disease.</w:t>
      </w:r>
    </w:p>
    <w:p>
      <w:pPr>
        <w:pStyle w:val="BodyText"/>
      </w:pPr>
      <w:r>
        <w:t xml:space="preserve">The central research claim is that measurable neuroplasticity may require stacked conditions:</w:t>
      </w:r>
    </w:p>
    <w:p>
      <w:pPr>
        <w:pStyle w:val="SourceCode"/>
      </w:pPr>
      <w:r>
        <w:rPr>
          <w:rStyle w:val="VerbatimChar"/>
        </w:rPr>
        <w:t xml:space="preserve">Pre-Load → Plasticity Window → Sustain / Integration</w:t>
      </w:r>
    </w:p>
    <w:p>
      <w:r>
        <w:pict>
          <v:rect style="width:0;height:1.5pt" o:hralign="center" o:hrstd="t" o:hr="t"/>
        </w:pict>
      </w:r>
    </w:p>
    <w:bookmarkEnd w:id="22"/>
    <w:bookmarkStart w:id="26" w:name="phase-plasticity-architecture"/>
    <w:p>
      <w:pPr>
        <w:pStyle w:val="Heading2"/>
      </w:pPr>
      <w:r>
        <w:t xml:space="preserve">3-Phase Plasticity Architecture</w:t>
      </w:r>
    </w:p>
    <w:bookmarkStart w:id="23" w:name="phase-1-pre-load"/>
    <w:p>
      <w:pPr>
        <w:pStyle w:val="Heading3"/>
      </w:pPr>
      <w:r>
        <w:t xml:space="preserve">Phase 1 — Pre-Load</w:t>
      </w:r>
    </w:p>
    <w:p>
      <w:pPr>
        <w:pStyle w:val="FirstParagraph"/>
      </w:pPr>
      <w:r>
        <w:t xml:space="preserve">Purpose: prepare the biological and behavioral system.</w:t>
      </w:r>
    </w:p>
    <w:p>
      <w:pPr>
        <w:pStyle w:val="BodyText"/>
      </w:pPr>
      <w:r>
        <w:t xml:space="preserve">Domains:</w:t>
      </w:r>
    </w:p>
    <w:p>
      <w:pPr>
        <w:pStyle w:val="Compact"/>
        <w:numPr>
          <w:ilvl w:val="0"/>
          <w:numId w:val="1003"/>
        </w:numPr>
      </w:pPr>
      <w:r>
        <w:t xml:space="preserve">Sleep stabilization</w:t>
      </w:r>
    </w:p>
    <w:p>
      <w:pPr>
        <w:pStyle w:val="Compact"/>
        <w:numPr>
          <w:ilvl w:val="0"/>
          <w:numId w:val="1003"/>
        </w:numPr>
      </w:pPr>
      <w:r>
        <w:t xml:space="preserve">Respiratory support</w:t>
      </w:r>
    </w:p>
    <w:p>
      <w:pPr>
        <w:pStyle w:val="Compact"/>
        <w:numPr>
          <w:ilvl w:val="0"/>
          <w:numId w:val="1003"/>
        </w:numPr>
      </w:pPr>
      <w:r>
        <w:t xml:space="preserve">Vascular safety monitoring</w:t>
      </w:r>
    </w:p>
    <w:p>
      <w:pPr>
        <w:pStyle w:val="Compact"/>
        <w:numPr>
          <w:ilvl w:val="0"/>
          <w:numId w:val="1003"/>
        </w:numPr>
      </w:pPr>
      <w:r>
        <w:t xml:space="preserve">Exertion tolerance</w:t>
      </w:r>
    </w:p>
    <w:p>
      <w:pPr>
        <w:pStyle w:val="Compact"/>
        <w:numPr>
          <w:ilvl w:val="0"/>
          <w:numId w:val="1003"/>
        </w:numPr>
      </w:pPr>
      <w:r>
        <w:t xml:space="preserve">Circadian alignment</w:t>
      </w:r>
    </w:p>
    <w:p>
      <w:pPr>
        <w:pStyle w:val="Compact"/>
        <w:numPr>
          <w:ilvl w:val="0"/>
          <w:numId w:val="1003"/>
        </w:numPr>
      </w:pPr>
      <w:r>
        <w:t xml:space="preserve">Social safety</w:t>
      </w:r>
    </w:p>
    <w:p>
      <w:pPr>
        <w:pStyle w:val="Compact"/>
        <w:numPr>
          <w:ilvl w:val="0"/>
          <w:numId w:val="1003"/>
        </w:numPr>
      </w:pPr>
      <w:r>
        <w:t xml:space="preserve">Legal mycology / neurotrophic support where appropriate</w:t>
      </w:r>
    </w:p>
    <w:p>
      <w:pPr>
        <w:pStyle w:val="Compact"/>
        <w:numPr>
          <w:ilvl w:val="0"/>
          <w:numId w:val="1003"/>
        </w:numPr>
      </w:pPr>
      <w:r>
        <w:t xml:space="preserve">Baseline biomarker and functional measurement</w:t>
      </w:r>
    </w:p>
    <w:bookmarkEnd w:id="23"/>
    <w:bookmarkStart w:id="24" w:name="phase-2-plasticity-window"/>
    <w:p>
      <w:pPr>
        <w:pStyle w:val="Heading3"/>
      </w:pPr>
      <w:r>
        <w:t xml:space="preserve">Phase 2 — Plasticity Window</w:t>
      </w:r>
    </w:p>
    <w:p>
      <w:pPr>
        <w:pStyle w:val="FirstParagraph"/>
      </w:pPr>
      <w:r>
        <w:t xml:space="preserve">Purpose: observe or study neuroplasticity-associated intervention windows.</w:t>
      </w:r>
    </w:p>
    <w:p>
      <w:pPr>
        <w:pStyle w:val="BodyText"/>
      </w:pPr>
      <w:r>
        <w:t xml:space="preserve">This phase may include controlled-substance research variables only where lawful and clinically governed.</w:t>
      </w:r>
    </w:p>
    <w:p>
      <w:pPr>
        <w:pStyle w:val="BodyText"/>
      </w:pPr>
      <w:r>
        <w:t xml:space="preserve">This repository does not provide sourcing, preparation, dosing, administration, or self-use instructions for controlled substances.</w:t>
      </w:r>
    </w:p>
    <w:p>
      <w:pPr>
        <w:pStyle w:val="BodyText"/>
      </w:pPr>
      <w:r>
        <w:t xml:space="preserve">Any psychedelic or controlled-substance component belongs only inside properly licensed, regulated, clinician-directed, and ethics/IRB-appropriate settings, or as clearly documented as-administered observational exposure data from lawful programs.</w:t>
      </w:r>
    </w:p>
    <w:bookmarkEnd w:id="24"/>
    <w:bookmarkStart w:id="25" w:name="phase-3-sustain-integration"/>
    <w:p>
      <w:pPr>
        <w:pStyle w:val="Heading3"/>
      </w:pPr>
      <w:r>
        <w:t xml:space="preserve">Phase 3 — Sustain / Integration</w:t>
      </w:r>
    </w:p>
    <w:p>
      <w:pPr>
        <w:pStyle w:val="FirstParagraph"/>
      </w:pPr>
      <w:r>
        <w:t xml:space="preserve">Purpose: test whether any observed changes persist, stabilize, decay, or require ongoing support.</w:t>
      </w:r>
    </w:p>
    <w:p>
      <w:pPr>
        <w:pStyle w:val="BodyText"/>
      </w:pPr>
      <w:r>
        <w:t xml:space="preserve">Domains:</w:t>
      </w:r>
    </w:p>
    <w:p>
      <w:pPr>
        <w:pStyle w:val="Compact"/>
        <w:numPr>
          <w:ilvl w:val="0"/>
          <w:numId w:val="1004"/>
        </w:numPr>
      </w:pPr>
      <w:r>
        <w:t xml:space="preserve">Continued functional tracking</w:t>
      </w:r>
    </w:p>
    <w:p>
      <w:pPr>
        <w:pStyle w:val="Compact"/>
        <w:numPr>
          <w:ilvl w:val="0"/>
          <w:numId w:val="1004"/>
        </w:numPr>
      </w:pPr>
      <w:r>
        <w:t xml:space="preserve">Sleep and exertion stability</w:t>
      </w:r>
    </w:p>
    <w:p>
      <w:pPr>
        <w:pStyle w:val="Compact"/>
        <w:numPr>
          <w:ilvl w:val="0"/>
          <w:numId w:val="1004"/>
        </w:numPr>
      </w:pPr>
      <w:r>
        <w:t xml:space="preserve">Adverse event surveillance</w:t>
      </w:r>
    </w:p>
    <w:p>
      <w:pPr>
        <w:pStyle w:val="Compact"/>
        <w:numPr>
          <w:ilvl w:val="0"/>
          <w:numId w:val="1004"/>
        </w:numPr>
      </w:pPr>
      <w:r>
        <w:t xml:space="preserve">Biomarker follow-up</w:t>
      </w:r>
    </w:p>
    <w:p>
      <w:pPr>
        <w:pStyle w:val="Compact"/>
        <w:numPr>
          <w:ilvl w:val="0"/>
          <w:numId w:val="1004"/>
        </w:numPr>
      </w:pPr>
      <w:r>
        <w:t xml:space="preserve">EEG / cognitive / motor reassessment</w:t>
      </w:r>
    </w:p>
    <w:p>
      <w:pPr>
        <w:pStyle w:val="Compact"/>
        <w:numPr>
          <w:ilvl w:val="0"/>
          <w:numId w:val="1004"/>
        </w:numPr>
      </w:pPr>
      <w:r>
        <w:t xml:space="preserve">Caregiver observation</w:t>
      </w:r>
    </w:p>
    <w:p>
      <w:pPr>
        <w:pStyle w:val="Compact"/>
        <w:numPr>
          <w:ilvl w:val="0"/>
          <w:numId w:val="1004"/>
        </w:numPr>
      </w:pPr>
      <w:r>
        <w:t xml:space="preserve">Confounder review</w:t>
      </w:r>
    </w:p>
    <w:p>
      <w:pPr>
        <w:pStyle w:val="Compact"/>
        <w:numPr>
          <w:ilvl w:val="0"/>
          <w:numId w:val="1004"/>
        </w:numPr>
      </w:pPr>
      <w:r>
        <w:t xml:space="preserve">Protocol refinement</w:t>
      </w:r>
    </w:p>
    <w:p>
      <w:r>
        <w:pict>
          <v:rect style="width:0;height:1.5pt" o:hralign="center" o:hrstd="t" o:hr="t"/>
        </w:pict>
      </w:r>
    </w:p>
    <w:bookmarkEnd w:id="25"/>
    <w:bookmarkEnd w:id="26"/>
    <w:bookmarkStart w:id="27" w:name="what-this-repository-is"/>
    <w:p>
      <w:pPr>
        <w:pStyle w:val="Heading2"/>
      </w:pPr>
      <w:r>
        <w:t xml:space="preserve">What This Repository Is</w:t>
      </w:r>
    </w:p>
    <w:p>
      <w:pPr>
        <w:pStyle w:val="FirstParagraph"/>
      </w:pPr>
      <w:r>
        <w:t xml:space="preserve">This repository is:</w:t>
      </w:r>
    </w:p>
    <w:p>
      <w:pPr>
        <w:pStyle w:val="Compact"/>
        <w:numPr>
          <w:ilvl w:val="0"/>
          <w:numId w:val="1005"/>
        </w:numPr>
      </w:pPr>
      <w:r>
        <w:t xml:space="preserve">A speculative research framework.</w:t>
      </w:r>
    </w:p>
    <w:p>
      <w:pPr>
        <w:pStyle w:val="Compact"/>
        <w:numPr>
          <w:ilvl w:val="0"/>
          <w:numId w:val="1005"/>
        </w:numPr>
      </w:pPr>
      <w:r>
        <w:t xml:space="preserve">A protocol architecture.</w:t>
      </w:r>
    </w:p>
    <w:p>
      <w:pPr>
        <w:pStyle w:val="Compact"/>
        <w:numPr>
          <w:ilvl w:val="0"/>
          <w:numId w:val="1005"/>
        </w:numPr>
      </w:pPr>
      <w:r>
        <w:t xml:space="preserve">A reproducible measurement system.</w:t>
      </w:r>
    </w:p>
    <w:p>
      <w:pPr>
        <w:pStyle w:val="Compact"/>
        <w:numPr>
          <w:ilvl w:val="0"/>
          <w:numId w:val="1005"/>
        </w:numPr>
      </w:pPr>
      <w:r>
        <w:t xml:space="preserve">A data dictionary foundation.</w:t>
      </w:r>
    </w:p>
    <w:p>
      <w:pPr>
        <w:pStyle w:val="Compact"/>
        <w:numPr>
          <w:ilvl w:val="0"/>
          <w:numId w:val="1005"/>
        </w:numPr>
      </w:pPr>
      <w:r>
        <w:t xml:space="preserve">A publication pipeline.</w:t>
      </w:r>
    </w:p>
    <w:p>
      <w:pPr>
        <w:pStyle w:val="Compact"/>
        <w:numPr>
          <w:ilvl w:val="0"/>
          <w:numId w:val="1005"/>
        </w:numPr>
      </w:pPr>
      <w:r>
        <w:t xml:space="preserve">A public timestamp of original framework development.</w:t>
      </w:r>
    </w:p>
    <w:p>
      <w:pPr>
        <w:pStyle w:val="Compact"/>
        <w:numPr>
          <w:ilvl w:val="0"/>
          <w:numId w:val="1005"/>
        </w:numPr>
      </w:pPr>
      <w:r>
        <w:t xml:space="preserve">A tool for qualified teams to implement, record, analyze, and contribute data back to the field.</w:t>
      </w:r>
    </w:p>
    <w:p>
      <w:r>
        <w:pict>
          <v:rect style="width:0;height:1.5pt" o:hralign="center" o:hrstd="t" o:hr="t"/>
        </w:pict>
      </w:r>
    </w:p>
    <w:bookmarkEnd w:id="27"/>
    <w:bookmarkStart w:id="28" w:name="what-this-repository-is-not"/>
    <w:p>
      <w:pPr>
        <w:pStyle w:val="Heading2"/>
      </w:pPr>
      <w:r>
        <w:t xml:space="preserve">What This Repository Is Not</w:t>
      </w:r>
    </w:p>
    <w:p>
      <w:pPr>
        <w:pStyle w:val="FirstParagraph"/>
      </w:pPr>
      <w:r>
        <w:t xml:space="preserve">This repository is not:</w:t>
      </w:r>
    </w:p>
    <w:p>
      <w:pPr>
        <w:pStyle w:val="Compact"/>
        <w:numPr>
          <w:ilvl w:val="0"/>
          <w:numId w:val="1006"/>
        </w:numPr>
      </w:pPr>
      <w:r>
        <w:t xml:space="preserve">Medical advice.</w:t>
      </w:r>
    </w:p>
    <w:p>
      <w:pPr>
        <w:pStyle w:val="Compact"/>
        <w:numPr>
          <w:ilvl w:val="0"/>
          <w:numId w:val="1006"/>
        </w:numPr>
      </w:pPr>
      <w:r>
        <w:t xml:space="preserve">Legal advice.</w:t>
      </w:r>
    </w:p>
    <w:p>
      <w:pPr>
        <w:pStyle w:val="Compact"/>
        <w:numPr>
          <w:ilvl w:val="0"/>
          <w:numId w:val="1006"/>
        </w:numPr>
      </w:pPr>
      <w:r>
        <w:t xml:space="preserve">A treatment plan.</w:t>
      </w:r>
    </w:p>
    <w:p>
      <w:pPr>
        <w:pStyle w:val="Compact"/>
        <w:numPr>
          <w:ilvl w:val="0"/>
          <w:numId w:val="1006"/>
        </w:numPr>
      </w:pPr>
      <w:r>
        <w:t xml:space="preserve">A clinical directive.</w:t>
      </w:r>
    </w:p>
    <w:p>
      <w:pPr>
        <w:pStyle w:val="Compact"/>
        <w:numPr>
          <w:ilvl w:val="0"/>
          <w:numId w:val="1006"/>
        </w:numPr>
      </w:pPr>
      <w:r>
        <w:t xml:space="preserve">A cure claim.</w:t>
      </w:r>
    </w:p>
    <w:p>
      <w:pPr>
        <w:pStyle w:val="Compact"/>
        <w:numPr>
          <w:ilvl w:val="0"/>
          <w:numId w:val="1006"/>
        </w:numPr>
      </w:pPr>
      <w:r>
        <w:t xml:space="preserve">A controlled-substance how-to guide.</w:t>
      </w:r>
    </w:p>
    <w:p>
      <w:pPr>
        <w:pStyle w:val="Compact"/>
        <w:numPr>
          <w:ilvl w:val="0"/>
          <w:numId w:val="1006"/>
        </w:numPr>
      </w:pPr>
      <w:r>
        <w:t xml:space="preserve">A dosing, sourcing, preparation, or administration guide.</w:t>
      </w:r>
    </w:p>
    <w:p>
      <w:pPr>
        <w:pStyle w:val="Compact"/>
        <w:numPr>
          <w:ilvl w:val="0"/>
          <w:numId w:val="1006"/>
        </w:numPr>
      </w:pPr>
      <w:r>
        <w:t xml:space="preserve">Proof that any intervention works.</w:t>
      </w:r>
    </w:p>
    <w:p>
      <w:pPr>
        <w:pStyle w:val="Compact"/>
        <w:numPr>
          <w:ilvl w:val="0"/>
          <w:numId w:val="1006"/>
        </w:numPr>
      </w:pPr>
      <w:r>
        <w:t xml:space="preserve">A substitute for clinician oversight, ethics review, or regulatory approval.</w:t>
      </w:r>
    </w:p>
    <w:p>
      <w:r>
        <w:pict>
          <v:rect style="width:0;height:1.5pt" o:hralign="center" o:hrstd="t" o:hr="t"/>
        </w:pict>
      </w:r>
    </w:p>
    <w:bookmarkEnd w:id="28"/>
    <w:bookmarkStart w:id="29" w:name="intended-users"/>
    <w:p>
      <w:pPr>
        <w:pStyle w:val="Heading2"/>
      </w:pPr>
      <w:r>
        <w:t xml:space="preserve">Intended Users</w:t>
      </w:r>
    </w:p>
    <w:p>
      <w:pPr>
        <w:pStyle w:val="FirstParagraph"/>
      </w:pPr>
      <w:r>
        <w:t xml:space="preserve">This framework is intended for:</w:t>
      </w:r>
    </w:p>
    <w:p>
      <w:pPr>
        <w:pStyle w:val="Compact"/>
        <w:numPr>
          <w:ilvl w:val="0"/>
          <w:numId w:val="1007"/>
        </w:numPr>
      </w:pPr>
      <w:r>
        <w:t xml:space="preserve">Clinicians</w:t>
      </w:r>
    </w:p>
    <w:p>
      <w:pPr>
        <w:pStyle w:val="Compact"/>
        <w:numPr>
          <w:ilvl w:val="0"/>
          <w:numId w:val="1007"/>
        </w:numPr>
      </w:pPr>
      <w:r>
        <w:t xml:space="preserve">Clinical researchers</w:t>
      </w:r>
    </w:p>
    <w:p>
      <w:pPr>
        <w:pStyle w:val="Compact"/>
        <w:numPr>
          <w:ilvl w:val="0"/>
          <w:numId w:val="1007"/>
        </w:numPr>
      </w:pPr>
      <w:r>
        <w:t xml:space="preserve">Trial operators</w:t>
      </w:r>
    </w:p>
    <w:p>
      <w:pPr>
        <w:pStyle w:val="Compact"/>
        <w:numPr>
          <w:ilvl w:val="0"/>
          <w:numId w:val="1007"/>
        </w:numPr>
      </w:pPr>
      <w:r>
        <w:t xml:space="preserve">Neurorehabilitation teams</w:t>
      </w:r>
    </w:p>
    <w:p>
      <w:pPr>
        <w:pStyle w:val="Compact"/>
        <w:numPr>
          <w:ilvl w:val="0"/>
          <w:numId w:val="1007"/>
        </w:numPr>
      </w:pPr>
      <w:r>
        <w:t xml:space="preserve">Psychedelic medicine researchers operating under lawful governance</w:t>
      </w:r>
    </w:p>
    <w:p>
      <w:pPr>
        <w:pStyle w:val="Compact"/>
        <w:numPr>
          <w:ilvl w:val="0"/>
          <w:numId w:val="1007"/>
        </w:numPr>
      </w:pPr>
      <w:r>
        <w:t xml:space="preserve">Mycology and natural products researchers</w:t>
      </w:r>
    </w:p>
    <w:p>
      <w:pPr>
        <w:pStyle w:val="Compact"/>
        <w:numPr>
          <w:ilvl w:val="0"/>
          <w:numId w:val="1007"/>
        </w:numPr>
      </w:pPr>
      <w:r>
        <w:t xml:space="preserve">Biostatisticians</w:t>
      </w:r>
    </w:p>
    <w:p>
      <w:pPr>
        <w:pStyle w:val="Compact"/>
        <w:numPr>
          <w:ilvl w:val="0"/>
          <w:numId w:val="1007"/>
        </w:numPr>
      </w:pPr>
      <w:r>
        <w:t xml:space="preserve">EEG / biomarker analysts</w:t>
      </w:r>
    </w:p>
    <w:p>
      <w:pPr>
        <w:pStyle w:val="Compact"/>
        <w:numPr>
          <w:ilvl w:val="0"/>
          <w:numId w:val="1007"/>
        </w:numPr>
      </w:pPr>
      <w:r>
        <w:t xml:space="preserve">Caregiver-supported observational teams</w:t>
      </w:r>
    </w:p>
    <w:p>
      <w:pPr>
        <w:pStyle w:val="Compact"/>
        <w:numPr>
          <w:ilvl w:val="0"/>
          <w:numId w:val="1007"/>
        </w:numPr>
      </w:pPr>
      <w:r>
        <w:t xml:space="preserve">Open-source health data builders</w:t>
      </w:r>
    </w:p>
    <w:p>
      <w:r>
        <w:pict>
          <v:rect style="width:0;height:1.5pt" o:hralign="center" o:hrstd="t" o:hr="t"/>
        </w:pict>
      </w:r>
    </w:p>
    <w:bookmarkEnd w:id="29"/>
    <w:bookmarkStart w:id="30" w:name="baseline-study-model"/>
    <w:p>
      <w:pPr>
        <w:pStyle w:val="Heading2"/>
      </w:pPr>
      <w:r>
        <w:t xml:space="preserve">Baseline Study Model</w:t>
      </w:r>
    </w:p>
    <w:p>
      <w:pPr>
        <w:pStyle w:val="FirstParagraph"/>
      </w:pPr>
      <w:r>
        <w:t xml:space="preserve">Core design:</w:t>
      </w:r>
    </w:p>
    <w:p>
      <w:pPr>
        <w:pStyle w:val="SourceCode"/>
      </w:pPr>
      <w:r>
        <w:rPr>
          <w:rStyle w:val="VerbatimChar"/>
        </w:rPr>
        <w:t xml:space="preserve">Prospective N-of-1 longitudinal observational protocol</w:t>
      </w:r>
    </w:p>
    <w:p>
      <w:pPr>
        <w:pStyle w:val="FirstParagraph"/>
      </w:pPr>
      <w:r>
        <w:t xml:space="preserve">Default timeline:</w:t>
      </w:r>
    </w:p>
    <w:p>
      <w:pPr>
        <w:pStyle w:val="SourceCode"/>
      </w:pPr>
      <w:r>
        <w:rPr>
          <w:rStyle w:val="VerbatimChar"/>
        </w:rPr>
        <w:t xml:space="preserve">Baseline Phase → Intervention / Exposure Window → Follow-Up Phase</w:t>
      </w:r>
    </w:p>
    <w:p>
      <w:pPr>
        <w:pStyle w:val="FirstParagraph"/>
      </w:pPr>
      <w:r>
        <w:t xml:space="preserve">The framework can scale from:</w:t>
      </w:r>
    </w:p>
    <w:p>
      <w:pPr>
        <w:pStyle w:val="SourceCode"/>
      </w:pPr>
      <w:r>
        <w:rPr>
          <w:rStyle w:val="VerbatimChar"/>
        </w:rPr>
        <w:t xml:space="preserve">N-of-1 → Case series → Cohort → Multi-site pilot → RCT-ready protocol</w:t>
      </w:r>
    </w:p>
    <w:p>
      <w:r>
        <w:pict>
          <v:rect style="width:0;height:1.5pt" o:hralign="center" o:hrstd="t" o:hr="t"/>
        </w:pict>
      </w:r>
    </w:p>
    <w:bookmarkEnd w:id="30"/>
    <w:bookmarkStart w:id="34" w:name="measurement-domains"/>
    <w:p>
      <w:pPr>
        <w:pStyle w:val="Heading2"/>
      </w:pPr>
      <w:r>
        <w:t xml:space="preserve">Measurement Domains</w:t>
      </w:r>
    </w:p>
    <w:bookmarkStart w:id="31" w:name="daily"/>
    <w:p>
      <w:pPr>
        <w:pStyle w:val="Heading3"/>
      </w:pPr>
      <w:r>
        <w:t xml:space="preserve">Daily</w:t>
      </w:r>
    </w:p>
    <w:p>
      <w:pPr>
        <w:pStyle w:val="Compact"/>
        <w:numPr>
          <w:ilvl w:val="0"/>
          <w:numId w:val="1008"/>
        </w:numPr>
      </w:pPr>
      <w:r>
        <w:t xml:space="preserve">Sleep duration and quality</w:t>
      </w:r>
    </w:p>
    <w:p>
      <w:pPr>
        <w:pStyle w:val="Compact"/>
        <w:numPr>
          <w:ilvl w:val="0"/>
          <w:numId w:val="1008"/>
        </w:numPr>
      </w:pPr>
      <w:r>
        <w:t xml:space="preserve">Cognition ratings</w:t>
      </w:r>
    </w:p>
    <w:p>
      <w:pPr>
        <w:pStyle w:val="Compact"/>
        <w:numPr>
          <w:ilvl w:val="0"/>
          <w:numId w:val="1008"/>
        </w:numPr>
      </w:pPr>
      <w:r>
        <w:t xml:space="preserve">Mood ratings</w:t>
      </w:r>
    </w:p>
    <w:p>
      <w:pPr>
        <w:pStyle w:val="Compact"/>
        <w:numPr>
          <w:ilvl w:val="0"/>
          <w:numId w:val="1008"/>
        </w:numPr>
      </w:pPr>
      <w:r>
        <w:t xml:space="preserve">Motor ratings</w:t>
      </w:r>
    </w:p>
    <w:p>
      <w:pPr>
        <w:pStyle w:val="Compact"/>
        <w:numPr>
          <w:ilvl w:val="0"/>
          <w:numId w:val="1008"/>
        </w:numPr>
      </w:pPr>
      <w:r>
        <w:t xml:space="preserve">Breathlessness</w:t>
      </w:r>
    </w:p>
    <w:p>
      <w:pPr>
        <w:pStyle w:val="Compact"/>
        <w:numPr>
          <w:ilvl w:val="0"/>
          <w:numId w:val="1008"/>
        </w:numPr>
      </w:pPr>
      <w:r>
        <w:t xml:space="preserve">SpO₂ where available</w:t>
      </w:r>
    </w:p>
    <w:p>
      <w:pPr>
        <w:pStyle w:val="Compact"/>
        <w:numPr>
          <w:ilvl w:val="0"/>
          <w:numId w:val="1008"/>
        </w:numPr>
      </w:pPr>
      <w:r>
        <w:t xml:space="preserve">BP / HR where available</w:t>
      </w:r>
    </w:p>
    <w:p>
      <w:pPr>
        <w:pStyle w:val="Compact"/>
        <w:numPr>
          <w:ilvl w:val="0"/>
          <w:numId w:val="1008"/>
        </w:numPr>
      </w:pPr>
      <w:r>
        <w:t xml:space="preserve">Medication adherence</w:t>
      </w:r>
    </w:p>
    <w:p>
      <w:pPr>
        <w:pStyle w:val="Compact"/>
        <w:numPr>
          <w:ilvl w:val="0"/>
          <w:numId w:val="1008"/>
        </w:numPr>
      </w:pPr>
      <w:r>
        <w:t xml:space="preserve">Supplement adherence</w:t>
      </w:r>
    </w:p>
    <w:p>
      <w:pPr>
        <w:pStyle w:val="Compact"/>
        <w:numPr>
          <w:ilvl w:val="0"/>
          <w:numId w:val="1008"/>
        </w:numPr>
      </w:pPr>
      <w:r>
        <w:t xml:space="preserve">Falls / near-falls</w:t>
      </w:r>
    </w:p>
    <w:p>
      <w:pPr>
        <w:pStyle w:val="Compact"/>
        <w:numPr>
          <w:ilvl w:val="0"/>
          <w:numId w:val="1008"/>
        </w:numPr>
      </w:pPr>
      <w:r>
        <w:t xml:space="preserve">Confusion episodes</w:t>
      </w:r>
    </w:p>
    <w:p>
      <w:pPr>
        <w:pStyle w:val="Compact"/>
        <w:numPr>
          <w:ilvl w:val="0"/>
          <w:numId w:val="1008"/>
        </w:numPr>
      </w:pPr>
      <w:r>
        <w:t xml:space="preserve">Adverse events</w:t>
      </w:r>
    </w:p>
    <w:p>
      <w:pPr>
        <w:pStyle w:val="Compact"/>
        <w:numPr>
          <w:ilvl w:val="0"/>
          <w:numId w:val="1008"/>
        </w:numPr>
      </w:pPr>
      <w:r>
        <w:t xml:space="preserve">Regenerative Loop pillars completed</w:t>
      </w:r>
    </w:p>
    <w:bookmarkEnd w:id="31"/>
    <w:bookmarkStart w:id="32" w:name="weekly"/>
    <w:p>
      <w:pPr>
        <w:pStyle w:val="Heading3"/>
      </w:pPr>
      <w:r>
        <w:t xml:space="preserve">Weekly</w:t>
      </w:r>
    </w:p>
    <w:p>
      <w:pPr>
        <w:pStyle w:val="Compact"/>
        <w:numPr>
          <w:ilvl w:val="0"/>
          <w:numId w:val="1009"/>
        </w:numPr>
      </w:pPr>
      <w:r>
        <w:t xml:space="preserve">Timed Up and Go</w:t>
      </w:r>
    </w:p>
    <w:p>
      <w:pPr>
        <w:pStyle w:val="Compact"/>
        <w:numPr>
          <w:ilvl w:val="0"/>
          <w:numId w:val="1009"/>
        </w:numPr>
      </w:pPr>
      <w:r>
        <w:t xml:space="preserve">10-meter walk test</w:t>
      </w:r>
    </w:p>
    <w:p>
      <w:pPr>
        <w:pStyle w:val="Compact"/>
        <w:numPr>
          <w:ilvl w:val="0"/>
          <w:numId w:val="1009"/>
        </w:numPr>
      </w:pPr>
      <w:r>
        <w:t xml:space="preserve">PHQ-9</w:t>
      </w:r>
    </w:p>
    <w:p>
      <w:pPr>
        <w:pStyle w:val="Compact"/>
        <w:numPr>
          <w:ilvl w:val="0"/>
          <w:numId w:val="1009"/>
        </w:numPr>
      </w:pPr>
      <w:r>
        <w:t xml:space="preserve">GAD-7</w:t>
      </w:r>
    </w:p>
    <w:p>
      <w:pPr>
        <w:pStyle w:val="Compact"/>
        <w:numPr>
          <w:ilvl w:val="0"/>
          <w:numId w:val="1009"/>
        </w:numPr>
      </w:pPr>
      <w:r>
        <w:t xml:space="preserve">mMRC dyspnea score</w:t>
      </w:r>
    </w:p>
    <w:p>
      <w:pPr>
        <w:pStyle w:val="Compact"/>
        <w:numPr>
          <w:ilvl w:val="0"/>
          <w:numId w:val="1009"/>
        </w:numPr>
      </w:pPr>
      <w:r>
        <w:t xml:space="preserve">Sleep summary</w:t>
      </w:r>
    </w:p>
    <w:p>
      <w:pPr>
        <w:pStyle w:val="Compact"/>
        <w:numPr>
          <w:ilvl w:val="0"/>
          <w:numId w:val="1009"/>
        </w:numPr>
      </w:pPr>
      <w:r>
        <w:t xml:space="preserve">Adherence summary</w:t>
      </w:r>
    </w:p>
    <w:p>
      <w:pPr>
        <w:pStyle w:val="Compact"/>
        <w:numPr>
          <w:ilvl w:val="0"/>
          <w:numId w:val="1009"/>
        </w:numPr>
      </w:pPr>
      <w:r>
        <w:t xml:space="preserve">Confounder review</w:t>
      </w:r>
    </w:p>
    <w:bookmarkEnd w:id="32"/>
    <w:bookmarkStart w:id="33" w:name="monthly-quarterly"/>
    <w:p>
      <w:pPr>
        <w:pStyle w:val="Heading3"/>
      </w:pPr>
      <w:r>
        <w:t xml:space="preserve">Monthly / Quarterly</w:t>
      </w:r>
    </w:p>
    <w:p>
      <w:pPr>
        <w:pStyle w:val="Compact"/>
        <w:numPr>
          <w:ilvl w:val="0"/>
          <w:numId w:val="1010"/>
        </w:numPr>
      </w:pPr>
      <w:r>
        <w:t xml:space="preserve">MoCA or comparable cognitive assessment</w:t>
      </w:r>
    </w:p>
    <w:p>
      <w:pPr>
        <w:pStyle w:val="Compact"/>
        <w:numPr>
          <w:ilvl w:val="0"/>
          <w:numId w:val="1010"/>
        </w:numPr>
      </w:pPr>
      <w:r>
        <w:t xml:space="preserve">Motor scale where clinician-supported</w:t>
      </w:r>
    </w:p>
    <w:p>
      <w:pPr>
        <w:pStyle w:val="Compact"/>
        <w:numPr>
          <w:ilvl w:val="0"/>
          <w:numId w:val="1010"/>
        </w:numPr>
      </w:pPr>
      <w:r>
        <w:t xml:space="preserve">COPD Assessment Test where relevant</w:t>
      </w:r>
    </w:p>
    <w:p>
      <w:pPr>
        <w:pStyle w:val="Compact"/>
        <w:numPr>
          <w:ilvl w:val="0"/>
          <w:numId w:val="1010"/>
        </w:numPr>
      </w:pPr>
      <w:r>
        <w:t xml:space="preserve">PSQI or other sleep scale</w:t>
      </w:r>
    </w:p>
    <w:p>
      <w:pPr>
        <w:pStyle w:val="Compact"/>
        <w:numPr>
          <w:ilvl w:val="0"/>
          <w:numId w:val="1010"/>
        </w:numPr>
      </w:pPr>
      <w:r>
        <w:t xml:space="preserve">Biomarker panel where clinically ordered</w:t>
      </w:r>
    </w:p>
    <w:p>
      <w:pPr>
        <w:pStyle w:val="Compact"/>
        <w:numPr>
          <w:ilvl w:val="0"/>
          <w:numId w:val="1010"/>
        </w:numPr>
      </w:pPr>
      <w:r>
        <w:t xml:space="preserve">EEG / P3 / resting-state analysis where available</w:t>
      </w:r>
    </w:p>
    <w:p>
      <w:pPr>
        <w:pStyle w:val="Compact"/>
        <w:numPr>
          <w:ilvl w:val="0"/>
          <w:numId w:val="1010"/>
        </w:numPr>
      </w:pPr>
      <w:r>
        <w:t xml:space="preserve">Medication and adverse event review</w:t>
      </w:r>
    </w:p>
    <w:p>
      <w:r>
        <w:pict>
          <v:rect style="width:0;height:1.5pt" o:hralign="center" o:hrstd="t" o:hr="t"/>
        </w:pict>
      </w:r>
    </w:p>
    <w:bookmarkEnd w:id="33"/>
    <w:bookmarkEnd w:id="34"/>
    <w:bookmarkStart w:id="35" w:name="evidence-posture"/>
    <w:p>
      <w:pPr>
        <w:pStyle w:val="Heading2"/>
      </w:pPr>
      <w:r>
        <w:t xml:space="preserve">Evidence Posture</w:t>
      </w:r>
    </w:p>
    <w:p>
      <w:pPr>
        <w:pStyle w:val="FirstParagraph"/>
      </w:pPr>
      <w:r>
        <w:t xml:space="preserve">All claims should be graded: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Meaning</w:t>
            </w:r>
          </w:p>
        </w:tc>
      </w:tr>
      <w:tr>
        <w:tc>
          <w:tcPr/>
          <w:p>
            <w:pPr>
              <w:pStyle w:val="Compact"/>
            </w:pPr>
            <w:r>
              <w:t xml:space="preserve">A</w:t>
            </w:r>
          </w:p>
        </w:tc>
        <w:tc>
          <w:tcPr/>
          <w:p>
            <w:pPr>
              <w:pStyle w:val="Compact"/>
            </w:pPr>
            <w:r>
              <w:t xml:space="preserve">Strong human evidence: meta-analyses, multiple RCTs, or systematic reviews</w:t>
            </w:r>
          </w:p>
        </w:tc>
      </w:tr>
      <w:tr>
        <w:tc>
          <w:tcPr/>
          <w:p>
            <w:pPr>
              <w:pStyle w:val="Compact"/>
            </w:pPr>
            <w:r>
              <w:t xml:space="preserve">B</w:t>
            </w:r>
          </w:p>
        </w:tc>
        <w:tc>
          <w:tcPr/>
          <w:p>
            <w:pPr>
              <w:pStyle w:val="Compact"/>
            </w:pPr>
            <w:r>
              <w:t xml:space="preserve">Moderate human evidence: some RCTs or controlled clinical studies</w:t>
            </w:r>
          </w:p>
        </w:tc>
      </w:tr>
      <w:tr>
        <w:tc>
          <w:tcPr/>
          <w:p>
            <w:pPr>
              <w:pStyle w:val="Compact"/>
            </w:pPr>
            <w:r>
              <w:t xml:space="preserve">C</w:t>
            </w:r>
          </w:p>
        </w:tc>
        <w:tc>
          <w:tcPr/>
          <w:p>
            <w:pPr>
              <w:pStyle w:val="Compact"/>
            </w:pPr>
            <w:r>
              <w:t xml:space="preserve">Limited human evidence: pilot, open-label, observational, case-series</w:t>
            </w:r>
          </w:p>
        </w:tc>
      </w:tr>
      <w:tr>
        <w:tc>
          <w:tcPr/>
          <w:p>
            <w:pPr>
              <w:pStyle w:val="Compact"/>
            </w:pPr>
            <w:r>
              <w:t xml:space="preserve">D</w:t>
            </w:r>
          </w:p>
        </w:tc>
        <w:tc>
          <w:tcPr/>
          <w:p>
            <w:pPr>
              <w:pStyle w:val="Compact"/>
            </w:pPr>
            <w:r>
              <w:t xml:space="preserve">Preclinical evidence only: animal or in vitro</w:t>
            </w:r>
          </w:p>
        </w:tc>
      </w:tr>
      <w:tr>
        <w:tc>
          <w:tcPr/>
          <w:p>
            <w:pPr>
              <w:pStyle w:val="Compact"/>
            </w:pPr>
            <w:r>
              <w:t xml:space="preserve">E</w:t>
            </w:r>
          </w:p>
        </w:tc>
        <w:tc>
          <w:tcPr/>
          <w:p>
            <w:pPr>
              <w:pStyle w:val="Compact"/>
            </w:pPr>
            <w:r>
              <w:t xml:space="preserve">Hypothesis, traditional use, or theoretical model</w:t>
            </w:r>
          </w:p>
        </w:tc>
      </w:tr>
    </w:tbl>
    <w:p>
      <w:pPr>
        <w:pStyle w:val="BodyText"/>
      </w:pPr>
      <w:r>
        <w:t xml:space="preserve">The RAY-VASC framework itself is currently</w:t>
      </w:r>
      <w:r>
        <w:t xml:space="preserve"> </w:t>
      </w:r>
      <w:r>
        <w:rPr>
          <w:b/>
          <w:bCs/>
        </w:rPr>
        <w:t xml:space="preserve">hypothesis-generating</w:t>
      </w:r>
      <w:r>
        <w:t xml:space="preserve"> </w:t>
      </w:r>
      <w:r>
        <w:t xml:space="preserve">until externally reviewed, preregistered, implemented under proper governance, and evaluated with data.</w:t>
      </w:r>
    </w:p>
    <w:p>
      <w:r>
        <w:pict>
          <v:rect style="width:0;height:1.5pt" o:hralign="center" o:hrstd="t" o:hr="t"/>
        </w:pict>
      </w:r>
    </w:p>
    <w:bookmarkEnd w:id="35"/>
    <w:bookmarkStart w:id="36" w:name="publication-mission"/>
    <w:p>
      <w:pPr>
        <w:pStyle w:val="Heading2"/>
      </w:pPr>
      <w:r>
        <w:t xml:space="preserve">Publication Mission</w:t>
      </w:r>
    </w:p>
    <w:p>
      <w:pPr>
        <w:pStyle w:val="FirstParagraph"/>
      </w:pPr>
      <w:r>
        <w:t xml:space="preserve">This repository supports the following publication ladder:</w:t>
      </w:r>
    </w:p>
    <w:p>
      <w:pPr>
        <w:pStyle w:val="Compact"/>
        <w:numPr>
          <w:ilvl w:val="0"/>
          <w:numId w:val="1011"/>
        </w:numPr>
      </w:pPr>
      <w:r>
        <w:t xml:space="preserve">Public framework release.</w:t>
      </w:r>
    </w:p>
    <w:p>
      <w:pPr>
        <w:pStyle w:val="Compact"/>
        <w:numPr>
          <w:ilvl w:val="0"/>
          <w:numId w:val="1011"/>
        </w:numPr>
      </w:pPr>
      <w:r>
        <w:t xml:space="preserve">Protocol manuscript.</w:t>
      </w:r>
    </w:p>
    <w:p>
      <w:pPr>
        <w:pStyle w:val="Compact"/>
        <w:numPr>
          <w:ilvl w:val="0"/>
          <w:numId w:val="1011"/>
        </w:numPr>
      </w:pPr>
      <w:r>
        <w:t xml:space="preserve">OSF registration.</w:t>
      </w:r>
    </w:p>
    <w:p>
      <w:pPr>
        <w:pStyle w:val="Compact"/>
        <w:numPr>
          <w:ilvl w:val="0"/>
          <w:numId w:val="1011"/>
        </w:numPr>
      </w:pPr>
      <w:r>
        <w:t xml:space="preserve">Preprint.</w:t>
      </w:r>
    </w:p>
    <w:p>
      <w:pPr>
        <w:pStyle w:val="Compact"/>
        <w:numPr>
          <w:ilvl w:val="0"/>
          <w:numId w:val="1011"/>
        </w:numPr>
      </w:pPr>
      <w:r>
        <w:t xml:space="preserve">Poster / conference submission.</w:t>
      </w:r>
    </w:p>
    <w:p>
      <w:pPr>
        <w:pStyle w:val="Compact"/>
        <w:numPr>
          <w:ilvl w:val="0"/>
          <w:numId w:val="1011"/>
        </w:numPr>
      </w:pPr>
      <w:r>
        <w:t xml:space="preserve">N-of-1 methods paper.</w:t>
      </w:r>
    </w:p>
    <w:p>
      <w:pPr>
        <w:pStyle w:val="Compact"/>
        <w:numPr>
          <w:ilvl w:val="0"/>
          <w:numId w:val="1011"/>
        </w:numPr>
      </w:pPr>
      <w:r>
        <w:t xml:space="preserve">Case report where appropriate.</w:t>
      </w:r>
    </w:p>
    <w:p>
      <w:pPr>
        <w:pStyle w:val="Compact"/>
        <w:numPr>
          <w:ilvl w:val="0"/>
          <w:numId w:val="1011"/>
        </w:numPr>
      </w:pPr>
      <w:r>
        <w:t xml:space="preserve">Case series / cohort protocol.</w:t>
      </w:r>
    </w:p>
    <w:p>
      <w:pPr>
        <w:pStyle w:val="Compact"/>
        <w:numPr>
          <w:ilvl w:val="0"/>
          <w:numId w:val="1011"/>
        </w:numPr>
      </w:pPr>
      <w:r>
        <w:t xml:space="preserve">Multi-site pilot.</w:t>
      </w:r>
    </w:p>
    <w:p>
      <w:pPr>
        <w:pStyle w:val="Compact"/>
        <w:numPr>
          <w:ilvl w:val="0"/>
          <w:numId w:val="1011"/>
        </w:numPr>
      </w:pPr>
      <w:r>
        <w:t xml:space="preserve">RCT-ready protocol package.</w:t>
      </w:r>
    </w:p>
    <w:p>
      <w:r>
        <w:pict>
          <v:rect style="width:0;height:1.5pt" o:hralign="center" o:hrstd="t" o:hr="t"/>
        </w:pict>
      </w:r>
    </w:p>
    <w:bookmarkEnd w:id="36"/>
    <w:bookmarkStart w:id="37" w:name="attribution"/>
    <w:p>
      <w:pPr>
        <w:pStyle w:val="Heading2"/>
      </w:pPr>
      <w:r>
        <w:t xml:space="preserve">Attribution</w:t>
      </w:r>
    </w:p>
    <w:p>
      <w:pPr>
        <w:pStyle w:val="FirstParagraph"/>
      </w:pPr>
      <w:r>
        <w:t xml:space="preserve">Original framework originator:</w:t>
      </w:r>
    </w:p>
    <w:p>
      <w:pPr>
        <w:pStyle w:val="BodyText"/>
      </w:pPr>
      <w:r>
        <w:rPr>
          <w:b/>
          <w:bCs/>
        </w:rPr>
        <w:t xml:space="preserve">Logan Henderson</w:t>
      </w:r>
      <w:r>
        <w:br/>
      </w:r>
      <w:r>
        <w:t xml:space="preserve">Computational Operations Translational Researcher</w:t>
      </w:r>
      <w:r>
        <w:br/>
      </w:r>
      <w:r>
        <w:t xml:space="preserve">Originator of the Regenerative Loop + APPRE + RAY-VASC protocol architecture.</w:t>
      </w:r>
    </w:p>
    <w:p>
      <w:pPr>
        <w:pStyle w:val="BodyText"/>
      </w:pPr>
      <w:r>
        <w:t xml:space="preserve">Human origin and dedication:</w:t>
      </w:r>
    </w:p>
    <w:p>
      <w:pPr>
        <w:pStyle w:val="BodyText"/>
      </w:pPr>
      <w:r>
        <w:rPr>
          <w:b/>
          <w:bCs/>
        </w:rPr>
        <w:t xml:space="preserve">Raymond A. Hornsby</w:t>
      </w:r>
      <w:r>
        <w:br/>
      </w:r>
      <w:r>
        <w:t xml:space="preserve">The care effort that led to the development of this research framework.</w:t>
      </w:r>
    </w:p>
    <w:p>
      <w:pPr>
        <w:pStyle w:val="BodyText"/>
      </w:pPr>
      <w:r>
        <w:t xml:space="preserve">Recommended citation:</w:t>
      </w:r>
    </w:p>
    <w:p>
      <w:pPr>
        <w:pStyle w:val="SourceCode"/>
      </w:pPr>
      <w:r>
        <w:rPr>
          <w:rStyle w:val="VerbatimChar"/>
        </w:rPr>
        <w:t xml:space="preserve">Henderson, L. (2026). RAY-VASC Regenerative Loop: Speculative open-source neuroplasticity research framework for N-of-1 to cohort implementation, data capture, and publication. GitHub. https://github.com/onlygreentrades/ray-vasc-regenerative-loop</w:t>
      </w:r>
    </w:p>
    <w:p>
      <w:r>
        <w:pict>
          <v:rect style="width:0;height:1.5pt" o:hralign="center" o:hrstd="t" o:hr="t"/>
        </w:pict>
      </w:r>
    </w:p>
    <w:bookmarkEnd w:id="37"/>
    <w:bookmarkStart w:id="38" w:name="license"/>
    <w:p>
      <w:pPr>
        <w:pStyle w:val="Heading2"/>
      </w:pPr>
      <w:r>
        <w:t xml:space="preserve">License</w:t>
      </w:r>
    </w:p>
    <w:p>
      <w:pPr>
        <w:pStyle w:val="FirstParagraph"/>
      </w:pPr>
      <w:r>
        <w:t xml:space="preserve">Code, scripts, schemas, and software utilities are released under the MIT License.</w:t>
      </w:r>
    </w:p>
    <w:p>
      <w:pPr>
        <w:pStyle w:val="BodyText"/>
      </w:pPr>
      <w:r>
        <w:t xml:space="preserve">Research text, protocol templates, forms, diagrams, and documentation are released under Creative Commons Attribution 4.0 International (CC BY 4.0), unless otherwise stated.</w:t>
      </w:r>
    </w:p>
    <w:p>
      <w:pPr>
        <w:pStyle w:val="BodyText"/>
      </w:pPr>
      <w:r>
        <w:t xml:space="preserve">Project names, marks, logos, and brand identifiers are not licensed for third-party branding use without written permission.</w:t>
      </w:r>
    </w:p>
    <w:p>
      <w:r>
        <w:pict>
          <v:rect style="width:0;height:1.5pt" o:hralign="center" o:hrstd="t" o:hr="t"/>
        </w:pict>
      </w:r>
    </w:p>
    <w:bookmarkEnd w:id="38"/>
    <w:bookmarkStart w:id="39" w:name="disclaimer"/>
    <w:p>
      <w:pPr>
        <w:pStyle w:val="Heading2"/>
      </w:pPr>
      <w:r>
        <w:t xml:space="preserve">Disclaimer</w:t>
      </w:r>
    </w:p>
    <w:p>
      <w:pPr>
        <w:pStyle w:val="FirstParagraph"/>
      </w:pPr>
      <w:r>
        <w:t xml:space="preserve">Not medical advice. Not legal advice. For informational and research documentation purposes only. Talk to a licensed professional before making medical, legal, regulatory, or clinical decisions.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2026-06-06T20:06:13Z</dcterms:created>
  <dcterms:modified xsi:type="dcterms:W3CDTF">2026-06-06T20:06:13Z</dcterms:modified>
</cp:coreProperties>
</file>

<file path=docProps/custom.xml><?xml version="1.0" encoding="utf-8"?>
<Properties xmlns="http://schemas.openxmlformats.org/officeDocument/2006/custom-properties" xmlns:vt="http://schemas.openxmlformats.org/officeDocument/2006/docPropsVTypes"/>
</file>