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f850f379be5c177008ae58082a0d72c5747779"/>
    <w:p>
      <w:pPr>
        <w:pStyle w:val="Heading1"/>
      </w:pPr>
      <w:r>
        <w:t xml:space="preserve">Regulatory and Controlled-Substance Boundary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2026-06-06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Logan Henderson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boundary for controlled-substance references inside the RAY-VASC Regenerative Loop repository.</w:t>
      </w:r>
    </w:p>
    <w:p>
      <w:pPr>
        <w:pStyle w:val="BodyText"/>
      </w:pPr>
      <w:r>
        <w:t xml:space="preserve">The framework includes a</w:t>
      </w:r>
      <w:r>
        <w:t xml:space="preserve"> </w:t>
      </w:r>
      <w:r>
        <w:rPr>
          <w:b/>
          <w:bCs/>
        </w:rPr>
        <w:t xml:space="preserve">Plasticity Window</w:t>
      </w:r>
      <w:r>
        <w:t xml:space="preserve"> </w:t>
      </w:r>
      <w:r>
        <w:t xml:space="preserve">phase because psychedelic and other controlled-substance research may be scientifically relevant to neuroplasticity, cognition, mood, trauma, stroke recovery, and neurodegeneration.</w:t>
      </w:r>
    </w:p>
    <w:p>
      <w:pPr>
        <w:pStyle w:val="BodyText"/>
      </w:pPr>
      <w:r>
        <w:t xml:space="preserve">However, this repository does not provide illegal instructions, sourcing guidance, preparation methods, dosing instructions, or self-administration protocols.</w:t>
      </w:r>
    </w:p>
    <w:bookmarkEnd w:id="20"/>
    <w:bookmarkStart w:id="21" w:name="core-boundary"/>
    <w:p>
      <w:pPr>
        <w:pStyle w:val="Heading2"/>
      </w:pPr>
      <w:r>
        <w:t xml:space="preserve">Core Boundary</w:t>
      </w:r>
    </w:p>
    <w:p>
      <w:pPr>
        <w:pStyle w:val="FirstParagraph"/>
      </w:pPr>
      <w:r>
        <w:t xml:space="preserve">Controlled-substance variables may appear in this repository only as:</w:t>
      </w:r>
    </w:p>
    <w:p>
      <w:pPr>
        <w:pStyle w:val="Compact"/>
        <w:numPr>
          <w:ilvl w:val="0"/>
          <w:numId w:val="1001"/>
        </w:numPr>
      </w:pPr>
      <w:r>
        <w:t xml:space="preserve">Published literature summaries.</w:t>
      </w:r>
    </w:p>
    <w:p>
      <w:pPr>
        <w:pStyle w:val="Compact"/>
        <w:numPr>
          <w:ilvl w:val="0"/>
          <w:numId w:val="1001"/>
        </w:numPr>
      </w:pPr>
      <w:r>
        <w:t xml:space="preserve">High-level study design concepts.</w:t>
      </w:r>
    </w:p>
    <w:p>
      <w:pPr>
        <w:pStyle w:val="Compact"/>
        <w:numPr>
          <w:ilvl w:val="0"/>
          <w:numId w:val="1001"/>
        </w:numPr>
      </w:pPr>
      <w:r>
        <w:t xml:space="preserve">Ethics and governance placeholders.</w:t>
      </w:r>
    </w:p>
    <w:p>
      <w:pPr>
        <w:pStyle w:val="Compact"/>
        <w:numPr>
          <w:ilvl w:val="0"/>
          <w:numId w:val="1001"/>
        </w:numPr>
      </w:pPr>
      <w:r>
        <w:t xml:space="preserve">As-administered observational exposure fields from lawful, regulated programs.</w:t>
      </w:r>
    </w:p>
    <w:p>
      <w:pPr>
        <w:pStyle w:val="Compact"/>
        <w:numPr>
          <w:ilvl w:val="0"/>
          <w:numId w:val="1001"/>
        </w:numPr>
      </w:pPr>
      <w:r>
        <w:t xml:space="preserve">Protocol components intended only for qualified teams operating under applicable law, medical oversight, ethics approval, and institutional governance.</w:t>
      </w:r>
    </w:p>
    <w:bookmarkEnd w:id="21"/>
    <w:bookmarkStart w:id="22" w:name="what-this-repository-does-not-do"/>
    <w:p>
      <w:pPr>
        <w:pStyle w:val="Heading2"/>
      </w:pPr>
      <w:r>
        <w:t xml:space="preserve">What This Repository Does Not Do</w:t>
      </w:r>
    </w:p>
    <w:p>
      <w:pPr>
        <w:pStyle w:val="FirstParagraph"/>
      </w:pPr>
      <w:r>
        <w:t xml:space="preserve">This repository does not:</w:t>
      </w:r>
    </w:p>
    <w:p>
      <w:pPr>
        <w:pStyle w:val="Compact"/>
        <w:numPr>
          <w:ilvl w:val="0"/>
          <w:numId w:val="1002"/>
        </w:numPr>
      </w:pPr>
      <w:r>
        <w:t xml:space="preserve">Instruct anyone how to source controlled substances.</w:t>
      </w:r>
    </w:p>
    <w:p>
      <w:pPr>
        <w:pStyle w:val="Compact"/>
        <w:numPr>
          <w:ilvl w:val="0"/>
          <w:numId w:val="1002"/>
        </w:numPr>
      </w:pPr>
      <w:r>
        <w:t xml:space="preserve">Instruct anyone how to prepare controlled substances.</w:t>
      </w:r>
    </w:p>
    <w:p>
      <w:pPr>
        <w:pStyle w:val="Compact"/>
        <w:numPr>
          <w:ilvl w:val="0"/>
          <w:numId w:val="1002"/>
        </w:numPr>
      </w:pPr>
      <w:r>
        <w:t xml:space="preserve">Instruct anyone how to dose controlled substances.</w:t>
      </w:r>
    </w:p>
    <w:p>
      <w:pPr>
        <w:pStyle w:val="Compact"/>
        <w:numPr>
          <w:ilvl w:val="0"/>
          <w:numId w:val="1002"/>
        </w:numPr>
      </w:pPr>
      <w:r>
        <w:t xml:space="preserve">Instruct anyone how to administer controlled substances.</w:t>
      </w:r>
    </w:p>
    <w:p>
      <w:pPr>
        <w:pStyle w:val="Compact"/>
        <w:numPr>
          <w:ilvl w:val="0"/>
          <w:numId w:val="1002"/>
        </w:numPr>
      </w:pPr>
      <w:r>
        <w:t xml:space="preserve">Encourage illegal use.</w:t>
      </w:r>
    </w:p>
    <w:p>
      <w:pPr>
        <w:pStyle w:val="Compact"/>
        <w:numPr>
          <w:ilvl w:val="0"/>
          <w:numId w:val="1002"/>
        </w:numPr>
      </w:pPr>
      <w:r>
        <w:t xml:space="preserve">Claim that controlled substances cure or reverse disease.</w:t>
      </w:r>
    </w:p>
    <w:p>
      <w:pPr>
        <w:pStyle w:val="Compact"/>
        <w:numPr>
          <w:ilvl w:val="0"/>
          <w:numId w:val="1002"/>
        </w:numPr>
      </w:pPr>
      <w:r>
        <w:t xml:space="preserve">Replace clinician judgment, IRB review, regulatory approval, or jurisdictional compliance.</w:t>
      </w:r>
    </w:p>
    <w:bookmarkEnd w:id="22"/>
    <w:bookmarkStart w:id="23" w:name="what-this-repository-is-open-for"/>
    <w:p>
      <w:pPr>
        <w:pStyle w:val="Heading2"/>
      </w:pPr>
      <w:r>
        <w:t xml:space="preserve">What This Repository Is Open For</w:t>
      </w:r>
    </w:p>
    <w:p>
      <w:pPr>
        <w:pStyle w:val="FirstParagraph"/>
      </w:pPr>
      <w:r>
        <w:t xml:space="preserve">This repository is open for adaptation by qualified teams working in lawful environments, including but not limited to:</w:t>
      </w:r>
    </w:p>
    <w:p>
      <w:pPr>
        <w:pStyle w:val="Compact"/>
        <w:numPr>
          <w:ilvl w:val="0"/>
          <w:numId w:val="1003"/>
        </w:numPr>
      </w:pPr>
      <w:r>
        <w:t xml:space="preserve">Licensed clinical research programs</w:t>
      </w:r>
    </w:p>
    <w:p>
      <w:pPr>
        <w:pStyle w:val="Compact"/>
        <w:numPr>
          <w:ilvl w:val="0"/>
          <w:numId w:val="1003"/>
        </w:numPr>
      </w:pPr>
      <w:r>
        <w:t xml:space="preserve">IRB-approved studies</w:t>
      </w:r>
    </w:p>
    <w:p>
      <w:pPr>
        <w:pStyle w:val="Compact"/>
        <w:numPr>
          <w:ilvl w:val="0"/>
          <w:numId w:val="1003"/>
        </w:numPr>
      </w:pPr>
      <w:r>
        <w:t xml:space="preserve">Ethics-approved observational studies</w:t>
      </w:r>
    </w:p>
    <w:p>
      <w:pPr>
        <w:pStyle w:val="Compact"/>
        <w:numPr>
          <w:ilvl w:val="0"/>
          <w:numId w:val="1003"/>
        </w:numPr>
      </w:pPr>
      <w:r>
        <w:t xml:space="preserve">Jurisdictions where psychedelic-assisted therapy or research is legally regulated</w:t>
      </w:r>
    </w:p>
    <w:p>
      <w:pPr>
        <w:pStyle w:val="Compact"/>
        <w:numPr>
          <w:ilvl w:val="0"/>
          <w:numId w:val="1003"/>
        </w:numPr>
      </w:pPr>
      <w:r>
        <w:t xml:space="preserve">Academic or clinical groups studying neuroplasticity under proper governance</w:t>
      </w:r>
    </w:p>
    <w:p>
      <w:pPr>
        <w:pStyle w:val="Compact"/>
        <w:numPr>
          <w:ilvl w:val="0"/>
          <w:numId w:val="1003"/>
        </w:numPr>
      </w:pPr>
      <w:r>
        <w:t xml:space="preserve">Facilities collecting structured outcomes data under medical and legal supervision</w:t>
      </w:r>
    </w:p>
    <w:bookmarkEnd w:id="23"/>
    <w:bookmarkStart w:id="24" w:name="phase-2-language"/>
    <w:p>
      <w:pPr>
        <w:pStyle w:val="Heading2"/>
      </w:pPr>
      <w:r>
        <w:t xml:space="preserve">Phase 2 Language</w:t>
      </w:r>
    </w:p>
    <w:p>
      <w:pPr>
        <w:pStyle w:val="FirstParagraph"/>
      </w:pPr>
      <w:r>
        <w:t xml:space="preserve">Preferred wording:</w:t>
      </w:r>
    </w:p>
    <w:p>
      <w:pPr>
        <w:pStyle w:val="BlockText"/>
      </w:pPr>
      <w:r>
        <w:t xml:space="preserve">Phase 2 — Plasticity Window: A clinician-governed and jurisdiction-dependent intervention or observation window in which neuroplasticity-associated exposures may be documented, including psychedelic or controlled-substance variables only when lawful, medically supervised, and ethics/IRB-appropriate. This repository provides measurement architecture, not administration instructions.</w:t>
      </w:r>
    </w:p>
    <w:bookmarkEnd w:id="24"/>
    <w:bookmarkStart w:id="25" w:name="publication-language"/>
    <w:p>
      <w:pPr>
        <w:pStyle w:val="Heading2"/>
      </w:pPr>
      <w:r>
        <w:t xml:space="preserve">Publication Language</w:t>
      </w:r>
    </w:p>
    <w:p>
      <w:pPr>
        <w:pStyle w:val="FirstParagraph"/>
      </w:pPr>
      <w:r>
        <w:t xml:space="preserve">Preferred wording:</w:t>
      </w:r>
    </w:p>
    <w:p>
      <w:pPr>
        <w:pStyle w:val="BlockText"/>
      </w:pPr>
      <w:r>
        <w:t xml:space="preserve">The RAY-VASC framework includes a controlled-substance research layer because regulated psychedelic-assisted interventions are increasingly studied in neuroplasticity research. The framework is not an instruction manual for use. It is a measurement and protocol architecture for lawful, clinically governed, ethics-approved implementation.</w:t>
      </w:r>
    </w:p>
    <w:bookmarkEnd w:id="25"/>
    <w:bookmarkStart w:id="26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Not medical advice. Not legal advice. For informational and research documentation purposes only. Talk to a licensed professional before making medical, legal, regulatory, or clinical decisions.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2026-06-06T20:06:24Z</dcterms:created>
  <dcterms:modified xsi:type="dcterms:W3CDTF">2026-06-06T20:06:24Z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