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44"/>
        </w:rPr>
        <w:t>RAY-VASC North Star + Build Guide</w:t>
      </w:r>
    </w:p>
    <w:p>
      <w:pPr>
        <w:jc w:val="center"/>
      </w:pPr>
      <w:r>
        <w:rPr>
          <w:i/>
          <w:color w:val="323232"/>
          <w:sz w:val="26"/>
        </w:rPr>
        <w:t>Publication-Only Public Research Framework</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r/>
            <w:r>
              <w:rPr>
                <w:rFonts w:ascii="Aptos" w:hAnsi="Aptos"/>
                <w:b/>
                <w:sz w:val="18"/>
              </w:rPr>
              <w:t>Field</w:t>
            </w:r>
          </w:p>
        </w:tc>
        <w:tc>
          <w:tcPr>
            <w:tcW w:type="dxa" w:w="6912"/>
            <w:shd w:fill="D9EAF7"/>
            <w:vAlign w:val="center"/>
          </w:tcPr>
          <w:p>
            <w:r/>
            <w:r>
              <w:rPr>
                <w:rFonts w:ascii="Aptos" w:hAnsi="Aptos"/>
                <w:b/>
                <w:sz w:val="18"/>
              </w:rPr>
              <w:t>Value</w:t>
            </w:r>
          </w:p>
        </w:tc>
      </w:tr>
      <w:tr>
        <w:tc>
          <w:tcPr>
            <w:tcW w:type="dxa" w:w="2448"/>
            <w:vAlign w:val="top"/>
          </w:tcPr>
          <w:p>
            <w:r/>
            <w:r>
              <w:rPr>
                <w:rFonts w:ascii="Aptos" w:hAnsi="Aptos"/>
                <w:b w:val="0"/>
                <w:sz w:val="18"/>
              </w:rPr>
              <w:t>Document</w:t>
            </w:r>
          </w:p>
        </w:tc>
        <w:tc>
          <w:tcPr>
            <w:tcW w:type="dxa" w:w="6912"/>
            <w:vAlign w:val="top"/>
          </w:tcPr>
          <w:p>
            <w:r/>
            <w:r>
              <w:rPr>
                <w:rFonts w:ascii="Aptos" w:hAnsi="Aptos"/>
                <w:b w:val="0"/>
                <w:sz w:val="18"/>
              </w:rPr>
              <w:t>North Star + Build Guide</w:t>
            </w:r>
          </w:p>
        </w:tc>
      </w:tr>
      <w:tr>
        <w:tc>
          <w:tcPr>
            <w:tcW w:type="dxa" w:w="2448"/>
            <w:vAlign w:val="top"/>
          </w:tcPr>
          <w:p>
            <w:r/>
            <w:r>
              <w:rPr>
                <w:rFonts w:ascii="Aptos" w:hAnsi="Aptos"/>
                <w:b w:val="0"/>
                <w:sz w:val="18"/>
              </w:rPr>
              <w:t>Version</w:t>
            </w:r>
          </w:p>
        </w:tc>
        <w:tc>
          <w:tcPr>
            <w:tcW w:type="dxa" w:w="6912"/>
            <w:vAlign w:val="top"/>
          </w:tcPr>
          <w:p>
            <w:r/>
            <w:r>
              <w:rPr>
                <w:rFonts w:ascii="Aptos" w:hAnsi="Aptos"/>
                <w:b w:val="0"/>
                <w:sz w:val="18"/>
              </w:rPr>
              <w:t>0.2.0</w:t>
            </w:r>
          </w:p>
        </w:tc>
      </w:tr>
      <w:tr>
        <w:tc>
          <w:tcPr>
            <w:tcW w:type="dxa" w:w="2448"/>
            <w:vAlign w:val="top"/>
          </w:tcPr>
          <w:p>
            <w:r/>
            <w:r>
              <w:rPr>
                <w:rFonts w:ascii="Aptos" w:hAnsi="Aptos"/>
                <w:b w:val="0"/>
                <w:sz w:val="18"/>
              </w:rPr>
              <w:t>Date</w:t>
            </w:r>
          </w:p>
        </w:tc>
        <w:tc>
          <w:tcPr>
            <w:tcW w:type="dxa" w:w="6912"/>
            <w:vAlign w:val="top"/>
          </w:tcPr>
          <w:p>
            <w:r/>
            <w:r>
              <w:rPr>
                <w:rFonts w:ascii="Aptos" w:hAnsi="Aptos"/>
                <w:b w:val="0"/>
                <w:sz w:val="18"/>
              </w:rPr>
              <w:t>2026-06-06</w:t>
            </w:r>
          </w:p>
        </w:tc>
      </w:tr>
      <w:tr>
        <w:tc>
          <w:tcPr>
            <w:tcW w:type="dxa" w:w="2448"/>
            <w:vAlign w:val="top"/>
          </w:tcPr>
          <w:p>
            <w:r/>
            <w:r>
              <w:rPr>
                <w:rFonts w:ascii="Aptos" w:hAnsi="Aptos"/>
                <w:b w:val="0"/>
                <w:sz w:val="18"/>
              </w:rPr>
              <w:t>Originating researcher</w:t>
            </w:r>
          </w:p>
        </w:tc>
        <w:tc>
          <w:tcPr>
            <w:tcW w:type="dxa" w:w="6912"/>
            <w:vAlign w:val="top"/>
          </w:tcPr>
          <w:p>
            <w:r/>
            <w:r>
              <w:rPr>
                <w:rFonts w:ascii="Aptos" w:hAnsi="Aptos"/>
                <w:b w:val="0"/>
                <w:sz w:val="18"/>
              </w:rPr>
              <w:t>Logan Henderson</w:t>
            </w:r>
          </w:p>
        </w:tc>
      </w:tr>
      <w:tr>
        <w:tc>
          <w:tcPr>
            <w:tcW w:type="dxa" w:w="2448"/>
            <w:vAlign w:val="top"/>
          </w:tcPr>
          <w:p>
            <w:r/>
            <w:r>
              <w:rPr>
                <w:rFonts w:ascii="Aptos" w:hAnsi="Aptos"/>
                <w:b w:val="0"/>
                <w:sz w:val="18"/>
              </w:rPr>
              <w:t>Public scope</w:t>
            </w:r>
          </w:p>
        </w:tc>
        <w:tc>
          <w:tcPr>
            <w:tcW w:type="dxa" w:w="6912"/>
            <w:vAlign w:val="top"/>
          </w:tcPr>
          <w:p>
            <w:r/>
            <w:r>
              <w:rPr>
                <w:rFonts w:ascii="Aptos" w:hAnsi="Aptos"/>
                <w:b w:val="0"/>
                <w:sz w:val="18"/>
              </w:rPr>
              <w:t>Research publication, protocol development, open-source documentation, and reproducible data architecture only</w:t>
            </w:r>
          </w:p>
        </w:tc>
      </w:tr>
      <w:tr>
        <w:tc>
          <w:tcPr>
            <w:tcW w:type="dxa" w:w="2448"/>
            <w:vAlign w:val="top"/>
          </w:tcPr>
          <w:p>
            <w:r/>
            <w:r>
              <w:rPr>
                <w:rFonts w:ascii="Aptos" w:hAnsi="Aptos"/>
                <w:b w:val="0"/>
                <w:sz w:val="18"/>
              </w:rPr>
              <w:t>Commercial scope</w:t>
            </w:r>
          </w:p>
        </w:tc>
        <w:tc>
          <w:tcPr>
            <w:tcW w:type="dxa" w:w="6912"/>
            <w:vAlign w:val="top"/>
          </w:tcPr>
          <w:p>
            <w:r/>
            <w:r>
              <w:rPr>
                <w:rFonts w:ascii="Aptos" w:hAnsi="Aptos"/>
                <w:b w:val="0"/>
                <w:sz w:val="18"/>
              </w:rPr>
              <w:t>No product line, supplement brand, retreat, clinic, or commercial treatment service is part of this repository</w:t>
            </w:r>
          </w:p>
        </w:tc>
      </w:tr>
      <w:tr>
        <w:tc>
          <w:tcPr>
            <w:tcW w:type="dxa" w:w="2448"/>
            <w:vAlign w:val="top"/>
          </w:tcPr>
          <w:p>
            <w:r/>
            <w:r>
              <w:rPr>
                <w:rFonts w:ascii="Aptos" w:hAnsi="Aptos"/>
                <w:b w:val="0"/>
                <w:sz w:val="18"/>
              </w:rPr>
              <w:t>Status</w:t>
            </w:r>
          </w:p>
        </w:tc>
        <w:tc>
          <w:tcPr>
            <w:tcW w:type="dxa" w:w="6912"/>
            <w:vAlign w:val="top"/>
          </w:tcPr>
          <w:p>
            <w:r/>
            <w:r>
              <w:rPr>
                <w:rFonts w:ascii="Aptos" w:hAnsi="Aptos"/>
                <w:b w:val="0"/>
                <w:sz w:val="18"/>
              </w:rPr>
              <w:t>Speculative / hypothesis-generating / publication-stage</w:t>
            </w:r>
          </w:p>
        </w:tc>
      </w:tr>
    </w:tbl>
    <w:p/>
    <w:p>
      <w:pPr>
        <w:pStyle w:val="Heading1"/>
      </w:pPr>
      <w:r>
        <w:t>1. Executive Directive</w:t>
      </w:r>
    </w:p>
    <w:p>
      <w:r>
        <w:t>RAY-VASC is a public research-publication project. It exists to organize, publish, and open-source the existing research, study protocol, measurement architecture, claim rules, governance boundaries, and analysis pathway behind the Regenerative Loop + APPRE + 3-Phase Plasticity Architecture.</w:t>
      </w:r>
    </w:p>
    <w:p>
      <w:r>
        <w:t>This is not a product-line repository. It does not market supplements, sell services, promote a clinic, operate a retreat, or commercialize a treatment. The only public mission is publication-grade research infrastructure: protocols, forms, schemas, evidence maps, manuscript drafts, analysis tools, and governance files that qualified teams can review, adapt, and improve under lawful oversight.</w:t>
      </w:r>
    </w:p>
    <w:p>
      <w:pPr>
        <w:pStyle w:val="Heading1"/>
      </w:pPr>
      <w:r>
        <w:t>2. North Star</w:t>
      </w:r>
    </w:p>
    <w:p>
      <w:r>
        <w:t>Build the most credible open-source neuroplasticity research framework possible: speculative where the science is early, rigorous where measurement is available, lawful where controlled-substance research is involved, and reproducible enough for external teams to implement without Logan present.</w:t>
      </w:r>
    </w:p>
    <w:p>
      <w:r>
        <w:t>The highest-order output is not attention. The highest-order output is a defensible evidence trail: timestamped authorship, clean protocols, documented assumptions, de-identified data structures, external review readiness, OSF registration, preprint readiness, and journal submission readiness.</w:t>
      </w:r>
    </w:p>
    <w:p>
      <w:pPr>
        <w:pStyle w:val="Heading1"/>
      </w:pPr>
      <w:r>
        <w:t>3. Operating Standard</w:t>
      </w:r>
    </w:p>
    <w:p>
      <w:pPr>
        <w:pStyle w:val="ListBullet"/>
      </w:pPr>
      <w:r>
        <w:t>Credibility before virality.</w:t>
      </w:r>
    </w:p>
    <w:p>
      <w:pPr>
        <w:pStyle w:val="ListBullet"/>
      </w:pPr>
      <w:r>
        <w:t>Protocol before claims.</w:t>
      </w:r>
    </w:p>
    <w:p>
      <w:pPr>
        <w:pStyle w:val="ListBullet"/>
      </w:pPr>
      <w:r>
        <w:t>Measurement before interpretation.</w:t>
      </w:r>
    </w:p>
    <w:p>
      <w:pPr>
        <w:pStyle w:val="ListBullet"/>
      </w:pPr>
      <w:r>
        <w:t>Consent before identifiable publication.</w:t>
      </w:r>
    </w:p>
    <w:p>
      <w:pPr>
        <w:pStyle w:val="ListBullet"/>
      </w:pPr>
      <w:r>
        <w:t>OSF registration before external prospective subject data collection.</w:t>
      </w:r>
    </w:p>
    <w:p>
      <w:pPr>
        <w:pStyle w:val="ListBullet"/>
      </w:pPr>
      <w:r>
        <w:t>Governance before controlled-substance implementation.</w:t>
      </w:r>
    </w:p>
    <w:p>
      <w:pPr>
        <w:pStyle w:val="ListBullet"/>
      </w:pPr>
      <w:r>
        <w:t>Open-source structure before scale.</w:t>
      </w:r>
    </w:p>
    <w:p>
      <w:pPr>
        <w:pStyle w:val="ListBullet"/>
      </w:pPr>
      <w:r>
        <w:t>Publication-grade documentation before public promotion.</w:t>
      </w:r>
    </w:p>
    <w:p>
      <w:pPr>
        <w:pStyle w:val="Heading1"/>
      </w:pPr>
      <w:r>
        <w:t>4. Non-Negotiable Scope Boundary</w:t>
      </w:r>
    </w:p>
    <w:tbl>
      <w:tblPr>
        <w:tblStyle w:val="TableGrid"/>
        <w:tblW w:type="auto" w:w="0"/>
        <w:jc w:val="center"/>
        <w:tblLook w:firstColumn="1" w:firstRow="1" w:lastColumn="0" w:lastRow="0" w:noHBand="0" w:noVBand="1" w:val="04A0"/>
      </w:tblPr>
      <w:tblGrid>
        <w:gridCol w:w="5112"/>
        <w:gridCol w:w="5112"/>
      </w:tblGrid>
      <w:tr>
        <w:tc>
          <w:tcPr>
            <w:tcW w:type="dxa" w:w="4608"/>
            <w:shd w:fill="D9EAF7"/>
            <w:vAlign w:val="center"/>
          </w:tcPr>
          <w:p>
            <w:r/>
            <w:r>
              <w:rPr>
                <w:rFonts w:ascii="Aptos" w:hAnsi="Aptos"/>
                <w:b/>
                <w:sz w:val="18"/>
              </w:rPr>
              <w:t>Allowed in this repo</w:t>
            </w:r>
          </w:p>
        </w:tc>
        <w:tc>
          <w:tcPr>
            <w:tcW w:type="dxa" w:w="4608"/>
            <w:shd w:fill="D9EAF7"/>
            <w:vAlign w:val="center"/>
          </w:tcPr>
          <w:p>
            <w:r/>
            <w:r>
              <w:rPr>
                <w:rFonts w:ascii="Aptos" w:hAnsi="Aptos"/>
                <w:b/>
                <w:sz w:val="18"/>
              </w:rPr>
              <w:t>Not allowed in this repo</w:t>
            </w:r>
          </w:p>
        </w:tc>
      </w:tr>
      <w:tr>
        <w:tc>
          <w:tcPr>
            <w:tcW w:type="dxa" w:w="4608"/>
            <w:vAlign w:val="top"/>
          </w:tcPr>
          <w:p>
            <w:r/>
            <w:r>
              <w:rPr>
                <w:rFonts w:ascii="Aptos" w:hAnsi="Aptos"/>
                <w:b w:val="0"/>
                <w:sz w:val="18"/>
              </w:rPr>
              <w:t>Protocol manuscripts, framework papers, evidence maps, de-identified forms, schemas, analysis scripts, synthetic example data</w:t>
            </w:r>
          </w:p>
        </w:tc>
        <w:tc>
          <w:tcPr>
            <w:tcW w:type="dxa" w:w="4608"/>
            <w:vAlign w:val="top"/>
          </w:tcPr>
          <w:p>
            <w:r/>
            <w:r>
              <w:rPr>
                <w:rFonts w:ascii="Aptos" w:hAnsi="Aptos"/>
                <w:b w:val="0"/>
                <w:sz w:val="18"/>
              </w:rPr>
              <w:t>Product pages, supplement marketing, retreat promotion, commercial treatment claims, clinic sales copy</w:t>
            </w:r>
          </w:p>
        </w:tc>
      </w:tr>
      <w:tr>
        <w:tc>
          <w:tcPr>
            <w:tcW w:type="dxa" w:w="4608"/>
            <w:vAlign w:val="top"/>
          </w:tcPr>
          <w:p>
            <w:r/>
            <w:r>
              <w:rPr>
                <w:rFonts w:ascii="Aptos" w:hAnsi="Aptos"/>
                <w:b w:val="0"/>
                <w:sz w:val="18"/>
              </w:rPr>
              <w:t>High-level controlled-substance research architecture for lawful, clinically governed settings</w:t>
            </w:r>
          </w:p>
        </w:tc>
        <w:tc>
          <w:tcPr>
            <w:tcW w:type="dxa" w:w="4608"/>
            <w:vAlign w:val="top"/>
          </w:tcPr>
          <w:p>
            <w:r/>
            <w:r>
              <w:rPr>
                <w:rFonts w:ascii="Aptos" w:hAnsi="Aptos"/>
                <w:b w:val="0"/>
                <w:sz w:val="18"/>
              </w:rPr>
              <w:t>Sourcing, preparation, dosing, administration, or self-use instructions for controlled substances</w:t>
            </w:r>
          </w:p>
        </w:tc>
      </w:tr>
      <w:tr>
        <w:tc>
          <w:tcPr>
            <w:tcW w:type="dxa" w:w="4608"/>
            <w:vAlign w:val="top"/>
          </w:tcPr>
          <w:p>
            <w:r/>
            <w:r>
              <w:rPr>
                <w:rFonts w:ascii="Aptos" w:hAnsi="Aptos"/>
                <w:b w:val="0"/>
                <w:sz w:val="18"/>
              </w:rPr>
              <w:t>Publication-ready claim discipline and evidence grading</w:t>
            </w:r>
          </w:p>
        </w:tc>
        <w:tc>
          <w:tcPr>
            <w:tcW w:type="dxa" w:w="4608"/>
            <w:vAlign w:val="top"/>
          </w:tcPr>
          <w:p>
            <w:r/>
            <w:r>
              <w:rPr>
                <w:rFonts w:ascii="Aptos" w:hAnsi="Aptos"/>
                <w:b w:val="0"/>
                <w:sz w:val="18"/>
              </w:rPr>
              <w:t>Disease cure/reversal claims or “miracle” framing</w:t>
            </w:r>
          </w:p>
        </w:tc>
      </w:tr>
      <w:tr>
        <w:tc>
          <w:tcPr>
            <w:tcW w:type="dxa" w:w="4608"/>
            <w:vAlign w:val="top"/>
          </w:tcPr>
          <w:p>
            <w:r/>
            <w:r>
              <w:rPr>
                <w:rFonts w:ascii="Aptos" w:hAnsi="Aptos"/>
                <w:b w:val="0"/>
                <w:sz w:val="18"/>
              </w:rPr>
              <w:t>Raymond attribution only after permission is recorded</w:t>
            </w:r>
          </w:p>
        </w:tc>
        <w:tc>
          <w:tcPr>
            <w:tcW w:type="dxa" w:w="4608"/>
            <w:vAlign w:val="top"/>
          </w:tcPr>
          <w:p>
            <w:r/>
            <w:r>
              <w:rPr>
                <w:rFonts w:ascii="Aptos" w:hAnsi="Aptos"/>
                <w:b w:val="0"/>
                <w:sz w:val="18"/>
              </w:rPr>
              <w:t>MRNs, full DOBs, addresses, raw medical records, private screenshots, or identifiable documents without consent/privacy review</w:t>
            </w:r>
          </w:p>
        </w:tc>
      </w:tr>
      <w:tr>
        <w:tc>
          <w:tcPr>
            <w:tcW w:type="dxa" w:w="4608"/>
            <w:vAlign w:val="top"/>
          </w:tcPr>
          <w:p>
            <w:r/>
            <w:r>
              <w:rPr>
                <w:rFonts w:ascii="Aptos" w:hAnsi="Aptos"/>
                <w:b w:val="0"/>
                <w:sz w:val="18"/>
              </w:rPr>
              <w:t>Research governance, ethics, consent, IRB/OSF triggers, safety stop rules</w:t>
            </w:r>
          </w:p>
        </w:tc>
        <w:tc>
          <w:tcPr>
            <w:tcW w:type="dxa" w:w="4608"/>
            <w:vAlign w:val="top"/>
          </w:tcPr>
          <w:p>
            <w:r/>
            <w:r>
              <w:rPr>
                <w:rFonts w:ascii="Aptos" w:hAnsi="Aptos"/>
                <w:b w:val="0"/>
                <w:sz w:val="18"/>
              </w:rPr>
              <w:t>Medical advice, legal advice, clinical directives, or treatment plans</w:t>
            </w:r>
          </w:p>
        </w:tc>
      </w:tr>
    </w:tbl>
    <w:p/>
    <w:p>
      <w:pPr>
        <w:pStyle w:val="Heading1"/>
      </w:pPr>
      <w:r>
        <w:t>5. Core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vAlign w:val="center"/>
          </w:tcPr>
          <w:p>
            <w:r/>
            <w:r>
              <w:rPr>
                <w:rFonts w:ascii="Aptos" w:hAnsi="Aptos"/>
                <w:b/>
                <w:sz w:val="18"/>
              </w:rPr>
              <w:t>Component</w:t>
            </w:r>
          </w:p>
        </w:tc>
        <w:tc>
          <w:tcPr>
            <w:tcW w:type="dxa" w:w="4032"/>
            <w:shd w:fill="D9EAF7"/>
            <w:vAlign w:val="center"/>
          </w:tcPr>
          <w:p>
            <w:r/>
            <w:r>
              <w:rPr>
                <w:rFonts w:ascii="Aptos" w:hAnsi="Aptos"/>
                <w:b/>
                <w:sz w:val="18"/>
              </w:rPr>
              <w:t>Definition</w:t>
            </w:r>
          </w:p>
        </w:tc>
        <w:tc>
          <w:tcPr>
            <w:tcW w:type="dxa" w:w="2880"/>
            <w:shd w:fill="D9EAF7"/>
            <w:vAlign w:val="center"/>
          </w:tcPr>
          <w:p>
            <w:r/>
            <w:r>
              <w:rPr>
                <w:rFonts w:ascii="Aptos" w:hAnsi="Aptos"/>
                <w:b/>
                <w:sz w:val="18"/>
              </w:rPr>
              <w:t>Build Output</w:t>
            </w:r>
          </w:p>
        </w:tc>
      </w:tr>
      <w:tr>
        <w:tc>
          <w:tcPr>
            <w:tcW w:type="dxa" w:w="2304"/>
            <w:vAlign w:val="top"/>
          </w:tcPr>
          <w:p>
            <w:r/>
            <w:r>
              <w:rPr>
                <w:rFonts w:ascii="Aptos" w:hAnsi="Aptos"/>
                <w:b w:val="0"/>
                <w:sz w:val="18"/>
              </w:rPr>
              <w:t>RAY-VASC</w:t>
            </w:r>
          </w:p>
        </w:tc>
        <w:tc>
          <w:tcPr>
            <w:tcW w:type="dxa" w:w="4032"/>
            <w:vAlign w:val="top"/>
          </w:tcPr>
          <w:p>
            <w:r/>
            <w:r>
              <w:rPr>
                <w:rFonts w:ascii="Aptos" w:hAnsi="Aptos"/>
                <w:b w:val="0"/>
                <w:sz w:val="18"/>
              </w:rPr>
              <w:t>The originating N-of-1 protocol spine for tracking cognition, motor function, mood, sleep, breathing, vascular safety, biomarkers, EEG, adverse events, and confounders.</w:t>
            </w:r>
          </w:p>
        </w:tc>
        <w:tc>
          <w:tcPr>
            <w:tcW w:type="dxa" w:w="2880"/>
            <w:vAlign w:val="top"/>
          </w:tcPr>
          <w:p>
            <w:r/>
            <w:r>
              <w:rPr>
                <w:rFonts w:ascii="Aptos" w:hAnsi="Aptos"/>
                <w:b w:val="0"/>
                <w:sz w:val="18"/>
              </w:rPr>
              <w:t>Protocol overview, forms, schemas, analysis plan, publication sequence</w:t>
            </w:r>
          </w:p>
        </w:tc>
      </w:tr>
      <w:tr>
        <w:tc>
          <w:tcPr>
            <w:tcW w:type="dxa" w:w="2304"/>
            <w:vAlign w:val="top"/>
          </w:tcPr>
          <w:p>
            <w:r/>
            <w:r>
              <w:rPr>
                <w:rFonts w:ascii="Aptos" w:hAnsi="Aptos"/>
                <w:b w:val="0"/>
                <w:sz w:val="18"/>
              </w:rPr>
              <w:t>Regenerative Loop</w:t>
            </w:r>
          </w:p>
        </w:tc>
        <w:tc>
          <w:tcPr>
            <w:tcW w:type="dxa" w:w="4032"/>
            <w:vAlign w:val="top"/>
          </w:tcPr>
          <w:p>
            <w:r/>
            <w:r>
              <w:rPr>
                <w:rFonts w:ascii="Aptos" w:hAnsi="Aptos"/>
                <w:b w:val="0"/>
                <w:sz w:val="18"/>
              </w:rPr>
              <w:t>A multidomain reinforcement model: exertion, light/circadian timing, sleep/repair, and social safety/adherence.</w:t>
            </w:r>
          </w:p>
        </w:tc>
        <w:tc>
          <w:tcPr>
            <w:tcW w:type="dxa" w:w="2880"/>
            <w:vAlign w:val="top"/>
          </w:tcPr>
          <w:p>
            <w:r/>
            <w:r>
              <w:rPr>
                <w:rFonts w:ascii="Aptos" w:hAnsi="Aptos"/>
                <w:b w:val="0"/>
                <w:sz w:val="18"/>
              </w:rPr>
              <w:t>Theory paper, figure, outcomes map, daily/weekly tracking forms</w:t>
            </w:r>
          </w:p>
        </w:tc>
      </w:tr>
      <w:tr>
        <w:tc>
          <w:tcPr>
            <w:tcW w:type="dxa" w:w="2304"/>
            <w:vAlign w:val="top"/>
          </w:tcPr>
          <w:p>
            <w:r/>
            <w:r>
              <w:rPr>
                <w:rFonts w:ascii="Aptos" w:hAnsi="Aptos"/>
                <w:b w:val="0"/>
                <w:sz w:val="18"/>
              </w:rPr>
              <w:t>APPRE</w:t>
            </w:r>
          </w:p>
        </w:tc>
        <w:tc>
          <w:tcPr>
            <w:tcW w:type="dxa" w:w="4032"/>
            <w:vAlign w:val="top"/>
          </w:tcPr>
          <w:p>
            <w:r/>
            <w:r>
              <w:rPr>
                <w:rFonts w:ascii="Aptos" w:hAnsi="Aptos"/>
                <w:b w:val="0"/>
                <w:sz w:val="18"/>
              </w:rPr>
              <w:t>Algorithmic Personalization Predictive Response Engine: Subject Profile -&gt; Inputs -&gt; Outcomes -&gt; Updated Response Policy.</w:t>
            </w:r>
          </w:p>
        </w:tc>
        <w:tc>
          <w:tcPr>
            <w:tcW w:type="dxa" w:w="2880"/>
            <w:vAlign w:val="top"/>
          </w:tcPr>
          <w:p>
            <w:r/>
            <w:r>
              <w:rPr>
                <w:rFonts w:ascii="Aptos" w:hAnsi="Aptos"/>
                <w:b w:val="0"/>
                <w:sz w:val="18"/>
              </w:rPr>
              <w:t>Data model, schema set, analysis notebook, methods paper</w:t>
            </w:r>
          </w:p>
        </w:tc>
      </w:tr>
      <w:tr>
        <w:tc>
          <w:tcPr>
            <w:tcW w:type="dxa" w:w="2304"/>
            <w:vAlign w:val="top"/>
          </w:tcPr>
          <w:p>
            <w:r/>
            <w:r>
              <w:rPr>
                <w:rFonts w:ascii="Aptos" w:hAnsi="Aptos"/>
                <w:b w:val="0"/>
                <w:sz w:val="18"/>
              </w:rPr>
              <w:t>3-Phase Plasticity Architecture</w:t>
            </w:r>
          </w:p>
        </w:tc>
        <w:tc>
          <w:tcPr>
            <w:tcW w:type="dxa" w:w="4032"/>
            <w:vAlign w:val="top"/>
          </w:tcPr>
          <w:p>
            <w:r/>
            <w:r>
              <w:rPr>
                <w:rFonts w:ascii="Aptos" w:hAnsi="Aptos"/>
                <w:b w:val="0"/>
                <w:sz w:val="18"/>
              </w:rPr>
              <w:t>Pre-Load -&gt; Plasticity Window -&gt; Sustain / Integration.</w:t>
            </w:r>
          </w:p>
        </w:tc>
        <w:tc>
          <w:tcPr>
            <w:tcW w:type="dxa" w:w="2880"/>
            <w:vAlign w:val="top"/>
          </w:tcPr>
          <w:p>
            <w:r/>
            <w:r>
              <w:rPr>
                <w:rFonts w:ascii="Aptos" w:hAnsi="Aptos"/>
                <w:b w:val="0"/>
                <w:sz w:val="18"/>
              </w:rPr>
              <w:t>Phase definitions, measurement windows, safety gates, manuscript methods</w:t>
            </w:r>
          </w:p>
        </w:tc>
      </w:tr>
      <w:tr>
        <w:tc>
          <w:tcPr>
            <w:tcW w:type="dxa" w:w="2304"/>
            <w:vAlign w:val="top"/>
          </w:tcPr>
          <w:p>
            <w:r/>
            <w:r>
              <w:rPr>
                <w:rFonts w:ascii="Aptos" w:hAnsi="Aptos"/>
                <w:b w:val="0"/>
                <w:sz w:val="18"/>
              </w:rPr>
              <w:t>Controlled-Substance Research Layer</w:t>
            </w:r>
          </w:p>
        </w:tc>
        <w:tc>
          <w:tcPr>
            <w:tcW w:type="dxa" w:w="4032"/>
            <w:vAlign w:val="top"/>
          </w:tcPr>
          <w:p>
            <w:r/>
            <w:r>
              <w:rPr>
                <w:rFonts w:ascii="Aptos" w:hAnsi="Aptos"/>
                <w:b w:val="0"/>
                <w:sz w:val="18"/>
              </w:rPr>
              <w:t>A research-only layer for lawful, clinically governed, ethics/IRB-appropriate settings or as-administered observational exposure fields.</w:t>
            </w:r>
          </w:p>
        </w:tc>
        <w:tc>
          <w:tcPr>
            <w:tcW w:type="dxa" w:w="2880"/>
            <w:vAlign w:val="top"/>
          </w:tcPr>
          <w:p>
            <w:r/>
            <w:r>
              <w:rPr>
                <w:rFonts w:ascii="Aptos" w:hAnsi="Aptos"/>
                <w:b w:val="0"/>
                <w:sz w:val="18"/>
              </w:rPr>
              <w:t>Regulatory boundary file, protocol placeholders, reporting checklist</w:t>
            </w:r>
          </w:p>
        </w:tc>
      </w:tr>
      <w:tr>
        <w:tc>
          <w:tcPr>
            <w:tcW w:type="dxa" w:w="2304"/>
            <w:vAlign w:val="top"/>
          </w:tcPr>
          <w:p>
            <w:r/>
            <w:r>
              <w:rPr>
                <w:rFonts w:ascii="Aptos" w:hAnsi="Aptos"/>
                <w:b w:val="0"/>
                <w:sz w:val="18"/>
              </w:rPr>
              <w:t>Open Evidence Commons</w:t>
            </w:r>
          </w:p>
        </w:tc>
        <w:tc>
          <w:tcPr>
            <w:tcW w:type="dxa" w:w="4032"/>
            <w:vAlign w:val="top"/>
          </w:tcPr>
          <w:p>
            <w:r/>
            <w:r>
              <w:rPr>
                <w:rFonts w:ascii="Aptos" w:hAnsi="Aptos"/>
                <w:b w:val="0"/>
                <w:sz w:val="18"/>
              </w:rPr>
              <w:t>A public repository of de-identified protocols, forms, schemas, evidence grades, and reproducible analysis tools.</w:t>
            </w:r>
          </w:p>
        </w:tc>
        <w:tc>
          <w:tcPr>
            <w:tcW w:type="dxa" w:w="2880"/>
            <w:vAlign w:val="top"/>
          </w:tcPr>
          <w:p>
            <w:r/>
            <w:r>
              <w:rPr>
                <w:rFonts w:ascii="Aptos" w:hAnsi="Aptos"/>
                <w:b w:val="0"/>
                <w:sz w:val="18"/>
              </w:rPr>
              <w:t>GitHub repo, OSF registration, DOI/archive, contribution rules</w:t>
            </w:r>
          </w:p>
        </w:tc>
      </w:tr>
    </w:tbl>
    <w:p/>
    <w:p>
      <w:pPr>
        <w:pStyle w:val="Heading1"/>
      </w:pPr>
      <w:r>
        <w:t>6. Publication Lanes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D9EAF7"/>
            <w:vAlign w:val="center"/>
          </w:tcPr>
          <w:p>
            <w:r/>
            <w:r>
              <w:rPr>
                <w:rFonts w:ascii="Aptos" w:hAnsi="Aptos"/>
                <w:b/>
                <w:sz w:val="18"/>
              </w:rPr>
              <w:t>Lane</w:t>
            </w:r>
          </w:p>
        </w:tc>
        <w:tc>
          <w:tcPr>
            <w:tcW w:type="dxa" w:w="2880"/>
            <w:shd w:fill="D9EAF7"/>
            <w:vAlign w:val="center"/>
          </w:tcPr>
          <w:p>
            <w:r/>
            <w:r>
              <w:rPr>
                <w:rFonts w:ascii="Aptos" w:hAnsi="Aptos"/>
                <w:b/>
                <w:sz w:val="18"/>
              </w:rPr>
              <w:t>Purpose</w:t>
            </w:r>
          </w:p>
        </w:tc>
        <w:tc>
          <w:tcPr>
            <w:tcW w:type="dxa" w:w="2880"/>
            <w:shd w:fill="D9EAF7"/>
            <w:vAlign w:val="center"/>
          </w:tcPr>
          <w:p>
            <w:r/>
            <w:r>
              <w:rPr>
                <w:rFonts w:ascii="Aptos" w:hAnsi="Aptos"/>
                <w:b/>
                <w:sz w:val="18"/>
              </w:rPr>
              <w:t>Primary output</w:t>
            </w:r>
          </w:p>
        </w:tc>
        <w:tc>
          <w:tcPr>
            <w:tcW w:type="dxa" w:w="2448"/>
            <w:shd w:fill="D9EAF7"/>
            <w:vAlign w:val="center"/>
          </w:tcPr>
          <w:p>
            <w:r/>
            <w:r>
              <w:rPr>
                <w:rFonts w:ascii="Aptos" w:hAnsi="Aptos"/>
                <w:b/>
                <w:sz w:val="18"/>
              </w:rPr>
              <w:t>Gate</w:t>
            </w:r>
          </w:p>
        </w:tc>
      </w:tr>
      <w:tr>
        <w:tc>
          <w:tcPr>
            <w:tcW w:type="dxa" w:w="1872"/>
            <w:vAlign w:val="top"/>
          </w:tcPr>
          <w:p>
            <w:r/>
            <w:r>
              <w:rPr>
                <w:rFonts w:ascii="Aptos" w:hAnsi="Aptos"/>
                <w:b w:val="0"/>
                <w:sz w:val="18"/>
              </w:rPr>
              <w:t>Lane 1: Scientific Timestamp</w:t>
            </w:r>
          </w:p>
        </w:tc>
        <w:tc>
          <w:tcPr>
            <w:tcW w:type="dxa" w:w="2880"/>
            <w:vAlign w:val="top"/>
          </w:tcPr>
          <w:p>
            <w:r/>
            <w:r>
              <w:rPr>
                <w:rFonts w:ascii="Aptos" w:hAnsi="Aptos"/>
                <w:b w:val="0"/>
                <w:sz w:val="18"/>
              </w:rPr>
              <w:t>Establish authorship, framework, and research posture.</w:t>
            </w:r>
          </w:p>
        </w:tc>
        <w:tc>
          <w:tcPr>
            <w:tcW w:type="dxa" w:w="2880"/>
            <w:vAlign w:val="top"/>
          </w:tcPr>
          <w:p>
            <w:r/>
            <w:r>
              <w:rPr>
                <w:rFonts w:ascii="Aptos" w:hAnsi="Aptos"/>
                <w:b w:val="0"/>
                <w:sz w:val="18"/>
              </w:rPr>
              <w:t>Perspective / Hypothesis &amp; Theory / Technical Report manuscript.</w:t>
            </w:r>
          </w:p>
        </w:tc>
        <w:tc>
          <w:tcPr>
            <w:tcW w:type="dxa" w:w="2448"/>
            <w:vAlign w:val="top"/>
          </w:tcPr>
          <w:p>
            <w:r/>
            <w:r>
              <w:rPr>
                <w:rFonts w:ascii="Aptos" w:hAnsi="Aptos"/>
                <w:b w:val="0"/>
                <w:sz w:val="18"/>
              </w:rPr>
              <w:t>No patient-identifiable details; citations and evidence grades complete.</w:t>
            </w:r>
          </w:p>
        </w:tc>
      </w:tr>
      <w:tr>
        <w:tc>
          <w:tcPr>
            <w:tcW w:type="dxa" w:w="1872"/>
            <w:vAlign w:val="top"/>
          </w:tcPr>
          <w:p>
            <w:r/>
            <w:r>
              <w:rPr>
                <w:rFonts w:ascii="Aptos" w:hAnsi="Aptos"/>
                <w:b w:val="0"/>
                <w:sz w:val="18"/>
              </w:rPr>
              <w:t>Lane 2: Protocol Spine</w:t>
            </w:r>
          </w:p>
        </w:tc>
        <w:tc>
          <w:tcPr>
            <w:tcW w:type="dxa" w:w="2880"/>
            <w:vAlign w:val="top"/>
          </w:tcPr>
          <w:p>
            <w:r/>
            <w:r>
              <w:rPr>
                <w:rFonts w:ascii="Aptos" w:hAnsi="Aptos"/>
                <w:b w:val="0"/>
                <w:sz w:val="18"/>
              </w:rPr>
              <w:t>Turn RAY-VASC into a reproducible study protocol.</w:t>
            </w:r>
          </w:p>
        </w:tc>
        <w:tc>
          <w:tcPr>
            <w:tcW w:type="dxa" w:w="2880"/>
            <w:vAlign w:val="top"/>
          </w:tcPr>
          <w:p>
            <w:r/>
            <w:r>
              <w:rPr>
                <w:rFonts w:ascii="Aptos" w:hAnsi="Aptos"/>
                <w:b w:val="0"/>
                <w:sz w:val="18"/>
              </w:rPr>
              <w:t>Study protocol / methods manuscript + OSF registration.</w:t>
            </w:r>
          </w:p>
        </w:tc>
        <w:tc>
          <w:tcPr>
            <w:tcW w:type="dxa" w:w="2448"/>
            <w:vAlign w:val="top"/>
          </w:tcPr>
          <w:p>
            <w:r/>
            <w:r>
              <w:rPr>
                <w:rFonts w:ascii="Aptos" w:hAnsi="Aptos"/>
                <w:b w:val="0"/>
                <w:sz w:val="18"/>
              </w:rPr>
              <w:t>OSF record created before external subject data collection.</w:t>
            </w:r>
          </w:p>
        </w:tc>
      </w:tr>
      <w:tr>
        <w:tc>
          <w:tcPr>
            <w:tcW w:type="dxa" w:w="1872"/>
            <w:vAlign w:val="top"/>
          </w:tcPr>
          <w:p>
            <w:r/>
            <w:r>
              <w:rPr>
                <w:rFonts w:ascii="Aptos" w:hAnsi="Aptos"/>
                <w:b w:val="0"/>
                <w:sz w:val="18"/>
              </w:rPr>
              <w:t>Lane 3: Case / Pilot Data</w:t>
            </w:r>
          </w:p>
        </w:tc>
        <w:tc>
          <w:tcPr>
            <w:tcW w:type="dxa" w:w="2880"/>
            <w:vAlign w:val="top"/>
          </w:tcPr>
          <w:p>
            <w:r/>
            <w:r>
              <w:rPr>
                <w:rFonts w:ascii="Aptos" w:hAnsi="Aptos"/>
                <w:b w:val="0"/>
                <w:sz w:val="18"/>
              </w:rPr>
              <w:t>Publish observed data only after governance and privacy readiness.</w:t>
            </w:r>
          </w:p>
        </w:tc>
        <w:tc>
          <w:tcPr>
            <w:tcW w:type="dxa" w:w="2880"/>
            <w:vAlign w:val="top"/>
          </w:tcPr>
          <w:p>
            <w:r/>
            <w:r>
              <w:rPr>
                <w:rFonts w:ascii="Aptos" w:hAnsi="Aptos"/>
                <w:b w:val="0"/>
                <w:sz w:val="18"/>
              </w:rPr>
              <w:t>Case report, brief report, or N-of-1 methods paper.</w:t>
            </w:r>
          </w:p>
        </w:tc>
        <w:tc>
          <w:tcPr>
            <w:tcW w:type="dxa" w:w="2448"/>
            <w:vAlign w:val="top"/>
          </w:tcPr>
          <w:p>
            <w:r/>
            <w:r>
              <w:rPr>
                <w:rFonts w:ascii="Aptos" w:hAnsi="Aptos"/>
                <w:b w:val="0"/>
                <w:sz w:val="18"/>
              </w:rPr>
              <w:t>Consent/LAR consent, privacy review, CARE checklist, clinician/statistical review.</w:t>
            </w:r>
          </w:p>
        </w:tc>
      </w:tr>
      <w:tr>
        <w:tc>
          <w:tcPr>
            <w:tcW w:type="dxa" w:w="1872"/>
            <w:vAlign w:val="top"/>
          </w:tcPr>
          <w:p>
            <w:r/>
            <w:r>
              <w:rPr>
                <w:rFonts w:ascii="Aptos" w:hAnsi="Aptos"/>
                <w:b w:val="0"/>
                <w:sz w:val="18"/>
              </w:rPr>
              <w:t>Lane 4: Public Translation</w:t>
            </w:r>
          </w:p>
        </w:tc>
        <w:tc>
          <w:tcPr>
            <w:tcW w:type="dxa" w:w="2880"/>
            <w:vAlign w:val="top"/>
          </w:tcPr>
          <w:p>
            <w:r/>
            <w:r>
              <w:rPr>
                <w:rFonts w:ascii="Aptos" w:hAnsi="Aptos"/>
                <w:b w:val="0"/>
                <w:sz w:val="18"/>
              </w:rPr>
              <w:t>Explain what the work means without overstating it.</w:t>
            </w:r>
          </w:p>
        </w:tc>
        <w:tc>
          <w:tcPr>
            <w:tcW w:type="dxa" w:w="2880"/>
            <w:vAlign w:val="top"/>
          </w:tcPr>
          <w:p>
            <w:r/>
            <w:r>
              <w:rPr>
                <w:rFonts w:ascii="Aptos" w:hAnsi="Aptos"/>
                <w:b w:val="0"/>
                <w:sz w:val="18"/>
              </w:rPr>
              <w:t>Systems Ledger / LinkedIn / ResearchGate commentary pointing back to repo/preprint.</w:t>
            </w:r>
          </w:p>
        </w:tc>
        <w:tc>
          <w:tcPr>
            <w:tcW w:type="dxa" w:w="2448"/>
            <w:vAlign w:val="top"/>
          </w:tcPr>
          <w:p>
            <w:r/>
            <w:r>
              <w:rPr>
                <w:rFonts w:ascii="Aptos" w:hAnsi="Aptos"/>
                <w:b w:val="0"/>
                <w:sz w:val="18"/>
              </w:rPr>
              <w:t>Must cite the scientific spine and avoid treatment claims.</w:t>
            </w:r>
          </w:p>
        </w:tc>
      </w:tr>
    </w:tbl>
    <w:p/>
    <w:p>
      <w:pPr>
        <w:pStyle w:val="Heading1"/>
      </w:pPr>
      <w:r>
        <w:t>7. Manuscript Sequence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shd w:fill="D9EAF7"/>
            <w:vAlign w:val="center"/>
          </w:tcPr>
          <w:p>
            <w:r/>
            <w:r>
              <w:rPr>
                <w:rFonts w:ascii="Aptos" w:hAnsi="Aptos"/>
                <w:b/>
                <w:sz w:val="18"/>
              </w:rPr>
              <w:t>Order</w:t>
            </w:r>
          </w:p>
        </w:tc>
        <w:tc>
          <w:tcPr>
            <w:tcW w:type="dxa" w:w="4464"/>
            <w:shd w:fill="D9EAF7"/>
            <w:vAlign w:val="center"/>
          </w:tcPr>
          <w:p>
            <w:r/>
            <w:r>
              <w:rPr>
                <w:rFonts w:ascii="Aptos" w:hAnsi="Aptos"/>
                <w:b/>
                <w:sz w:val="18"/>
              </w:rPr>
              <w:t>Working title</w:t>
            </w:r>
          </w:p>
        </w:tc>
        <w:tc>
          <w:tcPr>
            <w:tcW w:type="dxa" w:w="1728"/>
            <w:shd w:fill="D9EAF7"/>
            <w:vAlign w:val="center"/>
          </w:tcPr>
          <w:p>
            <w:r/>
            <w:r>
              <w:rPr>
                <w:rFonts w:ascii="Aptos" w:hAnsi="Aptos"/>
                <w:b/>
                <w:sz w:val="18"/>
              </w:rPr>
              <w:t>Type</w:t>
            </w:r>
          </w:p>
        </w:tc>
        <w:tc>
          <w:tcPr>
            <w:tcW w:type="dxa" w:w="2880"/>
            <w:shd w:fill="D9EAF7"/>
            <w:vAlign w:val="center"/>
          </w:tcPr>
          <w:p>
            <w:r/>
            <w:r>
              <w:rPr>
                <w:rFonts w:ascii="Aptos" w:hAnsi="Aptos"/>
                <w:b/>
                <w:sz w:val="18"/>
              </w:rPr>
              <w:t>Why first/next</w:t>
            </w:r>
          </w:p>
        </w:tc>
      </w:tr>
      <w:tr>
        <w:tc>
          <w:tcPr>
            <w:tcW w:type="dxa" w:w="864"/>
            <w:vAlign w:val="top"/>
          </w:tcPr>
          <w:p>
            <w:r/>
            <w:r>
              <w:rPr>
                <w:rFonts w:ascii="Aptos" w:hAnsi="Aptos"/>
                <w:b w:val="0"/>
                <w:sz w:val="18"/>
              </w:rPr>
              <w:t>1</w:t>
            </w:r>
          </w:p>
        </w:tc>
        <w:tc>
          <w:tcPr>
            <w:tcW w:type="dxa" w:w="4464"/>
            <w:vAlign w:val="top"/>
          </w:tcPr>
          <w:p>
            <w:r/>
            <w:r>
              <w:rPr>
                <w:rFonts w:ascii="Aptos" w:hAnsi="Aptos"/>
                <w:b w:val="0"/>
                <w:sz w:val="18"/>
              </w:rPr>
              <w:t>Residual Network Capacity in Advanced Neurodegeneration: A Measurement-Driven Framework for Testing Transient Functional Reactivation After Neuroplasticity-Oriented Interventions</w:t>
            </w:r>
          </w:p>
        </w:tc>
        <w:tc>
          <w:tcPr>
            <w:tcW w:type="dxa" w:w="1728"/>
            <w:vAlign w:val="top"/>
          </w:tcPr>
          <w:p>
            <w:r/>
            <w:r>
              <w:rPr>
                <w:rFonts w:ascii="Aptos" w:hAnsi="Aptos"/>
                <w:b w:val="0"/>
                <w:sz w:val="18"/>
              </w:rPr>
              <w:t>Framework / Perspective / Hypothesis &amp; Theory</w:t>
            </w:r>
          </w:p>
        </w:tc>
        <w:tc>
          <w:tcPr>
            <w:tcW w:type="dxa" w:w="2880"/>
            <w:vAlign w:val="top"/>
          </w:tcPr>
          <w:p>
            <w:r/>
            <w:r>
              <w:rPr>
                <w:rFonts w:ascii="Aptos" w:hAnsi="Aptos"/>
                <w:b w:val="0"/>
                <w:sz w:val="18"/>
              </w:rPr>
              <w:t>Defines the missing “50% of the story”: residual capacity, network access, measurement architecture, and governance.</w:t>
            </w:r>
          </w:p>
        </w:tc>
      </w:tr>
      <w:tr>
        <w:tc>
          <w:tcPr>
            <w:tcW w:type="dxa" w:w="864"/>
            <w:vAlign w:val="top"/>
          </w:tcPr>
          <w:p>
            <w:r/>
            <w:r>
              <w:rPr>
                <w:rFonts w:ascii="Aptos" w:hAnsi="Aptos"/>
                <w:b w:val="0"/>
                <w:sz w:val="18"/>
              </w:rPr>
              <w:t>2</w:t>
            </w:r>
          </w:p>
        </w:tc>
        <w:tc>
          <w:tcPr>
            <w:tcW w:type="dxa" w:w="4464"/>
            <w:vAlign w:val="top"/>
          </w:tcPr>
          <w:p>
            <w:r/>
            <w:r>
              <w:rPr>
                <w:rFonts w:ascii="Aptos" w:hAnsi="Aptos"/>
                <w:b w:val="0"/>
                <w:sz w:val="18"/>
              </w:rPr>
              <w:t>RAY-VASC: A Prospective N-of-1 Protocol for Tracking EEG, Cognitive, Motor, Mood, Respiratory, and Biomarker Trajectories in Complex Neurovascular Disease</w:t>
            </w:r>
          </w:p>
        </w:tc>
        <w:tc>
          <w:tcPr>
            <w:tcW w:type="dxa" w:w="1728"/>
            <w:vAlign w:val="top"/>
          </w:tcPr>
          <w:p>
            <w:r/>
            <w:r>
              <w:rPr>
                <w:rFonts w:ascii="Aptos" w:hAnsi="Aptos"/>
                <w:b w:val="0"/>
                <w:sz w:val="18"/>
              </w:rPr>
              <w:t>Study Protocol / Methods</w:t>
            </w:r>
          </w:p>
        </w:tc>
        <w:tc>
          <w:tcPr>
            <w:tcW w:type="dxa" w:w="2880"/>
            <w:vAlign w:val="top"/>
          </w:tcPr>
          <w:p>
            <w:r/>
            <w:r>
              <w:rPr>
                <w:rFonts w:ascii="Aptos" w:hAnsi="Aptos"/>
                <w:b w:val="0"/>
                <w:sz w:val="18"/>
              </w:rPr>
              <w:t>Turns the framework into a reproducible protocol that external teams can implement.</w:t>
            </w:r>
          </w:p>
        </w:tc>
      </w:tr>
      <w:tr>
        <w:tc>
          <w:tcPr>
            <w:tcW w:type="dxa" w:w="864"/>
            <w:vAlign w:val="top"/>
          </w:tcPr>
          <w:p>
            <w:r/>
            <w:r>
              <w:rPr>
                <w:rFonts w:ascii="Aptos" w:hAnsi="Aptos"/>
                <w:b w:val="0"/>
                <w:sz w:val="18"/>
              </w:rPr>
              <w:t>3</w:t>
            </w:r>
          </w:p>
        </w:tc>
        <w:tc>
          <w:tcPr>
            <w:tcW w:type="dxa" w:w="4464"/>
            <w:vAlign w:val="top"/>
          </w:tcPr>
          <w:p>
            <w:r/>
            <w:r>
              <w:rPr>
                <w:rFonts w:ascii="Aptos" w:hAnsi="Aptos"/>
                <w:b w:val="0"/>
                <w:sz w:val="18"/>
              </w:rPr>
              <w:t>Longitudinal EEG and Functional Outcome Tracking in a Complex Neurovascular / Parkinsonian Phenotype Under a Neuroplasticity-Oriented Observational Protocol</w:t>
            </w:r>
          </w:p>
        </w:tc>
        <w:tc>
          <w:tcPr>
            <w:tcW w:type="dxa" w:w="1728"/>
            <w:vAlign w:val="top"/>
          </w:tcPr>
          <w:p>
            <w:r/>
            <w:r>
              <w:rPr>
                <w:rFonts w:ascii="Aptos" w:hAnsi="Aptos"/>
                <w:b w:val="0"/>
                <w:sz w:val="18"/>
              </w:rPr>
              <w:t>Case report / Brief report / N-of-1 methods paper</w:t>
            </w:r>
          </w:p>
        </w:tc>
        <w:tc>
          <w:tcPr>
            <w:tcW w:type="dxa" w:w="2880"/>
            <w:vAlign w:val="top"/>
          </w:tcPr>
          <w:p>
            <w:r/>
            <w:r>
              <w:rPr>
                <w:rFonts w:ascii="Aptos" w:hAnsi="Aptos"/>
                <w:b w:val="0"/>
                <w:sz w:val="18"/>
              </w:rPr>
              <w:t>Only after consent/privacy review and sufficient baseline/follow-up data.</w:t>
            </w:r>
          </w:p>
        </w:tc>
      </w:tr>
      <w:tr>
        <w:tc>
          <w:tcPr>
            <w:tcW w:type="dxa" w:w="864"/>
            <w:vAlign w:val="top"/>
          </w:tcPr>
          <w:p>
            <w:r/>
            <w:r>
              <w:rPr>
                <w:rFonts w:ascii="Aptos" w:hAnsi="Aptos"/>
                <w:b w:val="0"/>
                <w:sz w:val="18"/>
              </w:rPr>
              <w:t>4</w:t>
            </w:r>
          </w:p>
        </w:tc>
        <w:tc>
          <w:tcPr>
            <w:tcW w:type="dxa" w:w="4464"/>
            <w:vAlign w:val="top"/>
          </w:tcPr>
          <w:p>
            <w:r/>
            <w:r>
              <w:rPr>
                <w:rFonts w:ascii="Aptos" w:hAnsi="Aptos"/>
                <w:b w:val="0"/>
                <w:sz w:val="18"/>
              </w:rPr>
              <w:t>APPRE: An Open Data Architecture for Adaptive N-of-1 Neuroplasticity Protocols</w:t>
            </w:r>
          </w:p>
        </w:tc>
        <w:tc>
          <w:tcPr>
            <w:tcW w:type="dxa" w:w="1728"/>
            <w:vAlign w:val="top"/>
          </w:tcPr>
          <w:p>
            <w:r/>
            <w:r>
              <w:rPr>
                <w:rFonts w:ascii="Aptos" w:hAnsi="Aptos"/>
                <w:b w:val="0"/>
                <w:sz w:val="18"/>
              </w:rPr>
              <w:t>Technical report / Methods paper</w:t>
            </w:r>
          </w:p>
        </w:tc>
        <w:tc>
          <w:tcPr>
            <w:tcW w:type="dxa" w:w="2880"/>
            <w:vAlign w:val="top"/>
          </w:tcPr>
          <w:p>
            <w:r/>
            <w:r>
              <w:rPr>
                <w:rFonts w:ascii="Aptos" w:hAnsi="Aptos"/>
                <w:b w:val="0"/>
                <w:sz w:val="18"/>
              </w:rPr>
              <w:t>Publishes the reusable data system and analysis pipeline.</w:t>
            </w:r>
          </w:p>
        </w:tc>
      </w:tr>
    </w:tbl>
    <w:p/>
    <w:p>
      <w:pPr>
        <w:pStyle w:val="Heading1"/>
      </w:pPr>
      <w:r>
        <w:t>8. Build Phases</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D9EAF7"/>
            <w:vAlign w:val="center"/>
          </w:tcPr>
          <w:p>
            <w:r/>
            <w:r>
              <w:rPr>
                <w:rFonts w:ascii="Aptos" w:hAnsi="Aptos"/>
                <w:b/>
                <w:sz w:val="18"/>
              </w:rPr>
              <w:t>Phase</w:t>
            </w:r>
          </w:p>
        </w:tc>
        <w:tc>
          <w:tcPr>
            <w:tcW w:type="dxa" w:w="2160"/>
            <w:shd w:fill="D9EAF7"/>
            <w:vAlign w:val="center"/>
          </w:tcPr>
          <w:p>
            <w:r/>
            <w:r>
              <w:rPr>
                <w:rFonts w:ascii="Aptos" w:hAnsi="Aptos"/>
                <w:b/>
                <w:sz w:val="18"/>
              </w:rPr>
              <w:t>Name</w:t>
            </w:r>
          </w:p>
        </w:tc>
        <w:tc>
          <w:tcPr>
            <w:tcW w:type="dxa" w:w="6048"/>
            <w:shd w:fill="D9EAF7"/>
            <w:vAlign w:val="center"/>
          </w:tcPr>
          <w:p>
            <w:r/>
            <w:r>
              <w:rPr>
                <w:rFonts w:ascii="Aptos" w:hAnsi="Aptos"/>
                <w:b/>
                <w:sz w:val="18"/>
              </w:rPr>
              <w:t>Definition of done</w:t>
            </w:r>
          </w:p>
        </w:tc>
      </w:tr>
      <w:tr>
        <w:tc>
          <w:tcPr>
            <w:tcW w:type="dxa" w:w="1008"/>
            <w:vAlign w:val="top"/>
          </w:tcPr>
          <w:p>
            <w:r/>
            <w:r>
              <w:rPr>
                <w:rFonts w:ascii="Aptos" w:hAnsi="Aptos"/>
                <w:b w:val="0"/>
                <w:sz w:val="18"/>
              </w:rPr>
              <w:t>0</w:t>
            </w:r>
          </w:p>
        </w:tc>
        <w:tc>
          <w:tcPr>
            <w:tcW w:type="dxa" w:w="2160"/>
            <w:vAlign w:val="top"/>
          </w:tcPr>
          <w:p>
            <w:r/>
            <w:r>
              <w:rPr>
                <w:rFonts w:ascii="Aptos" w:hAnsi="Aptos"/>
                <w:b w:val="0"/>
                <w:sz w:val="18"/>
              </w:rPr>
              <w:t>Repo Foundation</w:t>
            </w:r>
          </w:p>
        </w:tc>
        <w:tc>
          <w:tcPr>
            <w:tcW w:type="dxa" w:w="6048"/>
            <w:vAlign w:val="top"/>
          </w:tcPr>
          <w:p>
            <w:r/>
            <w:r>
              <w:rPr>
                <w:rFonts w:ascii="Aptos" w:hAnsi="Aptos"/>
                <w:b w:val="0"/>
                <w:sz w:val="18"/>
              </w:rPr>
              <w:t>README, LICENSE, CITATION.cff, regulatory boundary, attribution rule, privacy rule, CHANGELOG, CONTRIBUTING.</w:t>
            </w:r>
          </w:p>
        </w:tc>
      </w:tr>
      <w:tr>
        <w:tc>
          <w:tcPr>
            <w:tcW w:type="dxa" w:w="1008"/>
            <w:vAlign w:val="top"/>
          </w:tcPr>
          <w:p>
            <w:r/>
            <w:r>
              <w:rPr>
                <w:rFonts w:ascii="Aptos" w:hAnsi="Aptos"/>
                <w:b w:val="0"/>
                <w:sz w:val="18"/>
              </w:rPr>
              <w:t>1</w:t>
            </w:r>
          </w:p>
        </w:tc>
        <w:tc>
          <w:tcPr>
            <w:tcW w:type="dxa" w:w="2160"/>
            <w:vAlign w:val="top"/>
          </w:tcPr>
          <w:p>
            <w:r/>
            <w:r>
              <w:rPr>
                <w:rFonts w:ascii="Aptos" w:hAnsi="Aptos"/>
                <w:b w:val="0"/>
                <w:sz w:val="18"/>
              </w:rPr>
              <w:t>North Star Lock</w:t>
            </w:r>
          </w:p>
        </w:tc>
        <w:tc>
          <w:tcPr>
            <w:tcW w:type="dxa" w:w="6048"/>
            <w:vAlign w:val="top"/>
          </w:tcPr>
          <w:p>
            <w:r/>
            <w:r>
              <w:rPr>
                <w:rFonts w:ascii="Aptos" w:hAnsi="Aptos"/>
                <w:b w:val="0"/>
                <w:sz w:val="18"/>
              </w:rPr>
              <w:t>This guide committed as v0.2.0; all future changes logged.</w:t>
            </w:r>
          </w:p>
        </w:tc>
      </w:tr>
      <w:tr>
        <w:tc>
          <w:tcPr>
            <w:tcW w:type="dxa" w:w="1008"/>
            <w:vAlign w:val="top"/>
          </w:tcPr>
          <w:p>
            <w:r/>
            <w:r>
              <w:rPr>
                <w:rFonts w:ascii="Aptos" w:hAnsi="Aptos"/>
                <w:b w:val="0"/>
                <w:sz w:val="18"/>
              </w:rPr>
              <w:t>2</w:t>
            </w:r>
          </w:p>
        </w:tc>
        <w:tc>
          <w:tcPr>
            <w:tcW w:type="dxa" w:w="2160"/>
            <w:vAlign w:val="top"/>
          </w:tcPr>
          <w:p>
            <w:r/>
            <w:r>
              <w:rPr>
                <w:rFonts w:ascii="Aptos" w:hAnsi="Aptos"/>
                <w:b w:val="0"/>
                <w:sz w:val="18"/>
              </w:rPr>
              <w:t>Protocol Spine</w:t>
            </w:r>
          </w:p>
        </w:tc>
        <w:tc>
          <w:tcPr>
            <w:tcW w:type="dxa" w:w="6048"/>
            <w:vAlign w:val="top"/>
          </w:tcPr>
          <w:p>
            <w:r/>
            <w:r>
              <w:rPr>
                <w:rFonts w:ascii="Aptos" w:hAnsi="Aptos"/>
                <w:b w:val="0"/>
                <w:sz w:val="18"/>
              </w:rPr>
              <w:t>Protocol overview, inclusion/exclusion language, outcomes table, safety stop rules, forms, and schemas drafted.</w:t>
            </w:r>
          </w:p>
        </w:tc>
      </w:tr>
      <w:tr>
        <w:tc>
          <w:tcPr>
            <w:tcW w:type="dxa" w:w="1008"/>
            <w:vAlign w:val="top"/>
          </w:tcPr>
          <w:p>
            <w:r/>
            <w:r>
              <w:rPr>
                <w:rFonts w:ascii="Aptos" w:hAnsi="Aptos"/>
                <w:b w:val="0"/>
                <w:sz w:val="18"/>
              </w:rPr>
              <w:t>3</w:t>
            </w:r>
          </w:p>
        </w:tc>
        <w:tc>
          <w:tcPr>
            <w:tcW w:type="dxa" w:w="2160"/>
            <w:vAlign w:val="top"/>
          </w:tcPr>
          <w:p>
            <w:r/>
            <w:r>
              <w:rPr>
                <w:rFonts w:ascii="Aptos" w:hAnsi="Aptos"/>
                <w:b w:val="0"/>
                <w:sz w:val="18"/>
              </w:rPr>
              <w:t>Evidence Map</w:t>
            </w:r>
          </w:p>
        </w:tc>
        <w:tc>
          <w:tcPr>
            <w:tcW w:type="dxa" w:w="6048"/>
            <w:vAlign w:val="top"/>
          </w:tcPr>
          <w:p>
            <w:r/>
            <w:r>
              <w:rPr>
                <w:rFonts w:ascii="Aptos" w:hAnsi="Aptos"/>
                <w:b w:val="0"/>
                <w:sz w:val="18"/>
              </w:rPr>
              <w:t>Claims graded A-E; unsupported claims labeled NEEDS CITATION or removed.</w:t>
            </w:r>
          </w:p>
        </w:tc>
      </w:tr>
      <w:tr>
        <w:tc>
          <w:tcPr>
            <w:tcW w:type="dxa" w:w="1008"/>
            <w:vAlign w:val="top"/>
          </w:tcPr>
          <w:p>
            <w:r/>
            <w:r>
              <w:rPr>
                <w:rFonts w:ascii="Aptos" w:hAnsi="Aptos"/>
                <w:b w:val="0"/>
                <w:sz w:val="18"/>
              </w:rPr>
              <w:t>4</w:t>
            </w:r>
          </w:p>
        </w:tc>
        <w:tc>
          <w:tcPr>
            <w:tcW w:type="dxa" w:w="2160"/>
            <w:vAlign w:val="top"/>
          </w:tcPr>
          <w:p>
            <w:r/>
            <w:r>
              <w:rPr>
                <w:rFonts w:ascii="Aptos" w:hAnsi="Aptos"/>
                <w:b w:val="0"/>
                <w:sz w:val="18"/>
              </w:rPr>
              <w:t>OSF + Preprint Path</w:t>
            </w:r>
          </w:p>
        </w:tc>
        <w:tc>
          <w:tcPr>
            <w:tcW w:type="dxa" w:w="6048"/>
            <w:vAlign w:val="top"/>
          </w:tcPr>
          <w:p>
            <w:r/>
            <w:r>
              <w:rPr>
                <w:rFonts w:ascii="Aptos" w:hAnsi="Aptos"/>
                <w:b w:val="0"/>
                <w:sz w:val="18"/>
              </w:rPr>
              <w:t>OSF registration created before external prospective subject data; preprint shell prepared.</w:t>
            </w:r>
          </w:p>
        </w:tc>
      </w:tr>
      <w:tr>
        <w:tc>
          <w:tcPr>
            <w:tcW w:type="dxa" w:w="1008"/>
            <w:vAlign w:val="top"/>
          </w:tcPr>
          <w:p>
            <w:r/>
            <w:r>
              <w:rPr>
                <w:rFonts w:ascii="Aptos" w:hAnsi="Aptos"/>
                <w:b w:val="0"/>
                <w:sz w:val="18"/>
              </w:rPr>
              <w:t>5</w:t>
            </w:r>
          </w:p>
        </w:tc>
        <w:tc>
          <w:tcPr>
            <w:tcW w:type="dxa" w:w="2160"/>
            <w:vAlign w:val="top"/>
          </w:tcPr>
          <w:p>
            <w:r/>
            <w:r>
              <w:rPr>
                <w:rFonts w:ascii="Aptos" w:hAnsi="Aptos"/>
                <w:b w:val="0"/>
                <w:sz w:val="18"/>
              </w:rPr>
              <w:t>External Review Packet</w:t>
            </w:r>
          </w:p>
        </w:tc>
        <w:tc>
          <w:tcPr>
            <w:tcW w:type="dxa" w:w="6048"/>
            <w:vAlign w:val="top"/>
          </w:tcPr>
          <w:p>
            <w:r/>
            <w:r>
              <w:rPr>
                <w:rFonts w:ascii="Aptos" w:hAnsi="Aptos"/>
                <w:b w:val="0"/>
                <w:sz w:val="18"/>
              </w:rPr>
              <w:t>Neurologist, neuropsychologist, biostatistician, EEG/qEEG analyst, psychiatrist/psychedelic clinician, and pharmacist review targets prepared.</w:t>
            </w:r>
          </w:p>
        </w:tc>
      </w:tr>
      <w:tr>
        <w:tc>
          <w:tcPr>
            <w:tcW w:type="dxa" w:w="1008"/>
            <w:vAlign w:val="top"/>
          </w:tcPr>
          <w:p>
            <w:r/>
            <w:r>
              <w:rPr>
                <w:rFonts w:ascii="Aptos" w:hAnsi="Aptos"/>
                <w:b w:val="0"/>
                <w:sz w:val="18"/>
              </w:rPr>
              <w:t>6</w:t>
            </w:r>
          </w:p>
        </w:tc>
        <w:tc>
          <w:tcPr>
            <w:tcW w:type="dxa" w:w="2160"/>
            <w:vAlign w:val="top"/>
          </w:tcPr>
          <w:p>
            <w:r/>
            <w:r>
              <w:rPr>
                <w:rFonts w:ascii="Aptos" w:hAnsi="Aptos"/>
                <w:b w:val="0"/>
                <w:sz w:val="18"/>
              </w:rPr>
              <w:t>Manuscript Submission</w:t>
            </w:r>
          </w:p>
        </w:tc>
        <w:tc>
          <w:tcPr>
            <w:tcW w:type="dxa" w:w="6048"/>
            <w:vAlign w:val="top"/>
          </w:tcPr>
          <w:p>
            <w:r/>
            <w:r>
              <w:rPr>
                <w:rFonts w:ascii="Aptos" w:hAnsi="Aptos"/>
                <w:b w:val="0"/>
                <w:sz w:val="18"/>
              </w:rPr>
              <w:t>Paper 1 submitted or posted as preprint; Paper 2 protocol follows.</w:t>
            </w:r>
          </w:p>
        </w:tc>
      </w:tr>
    </w:tbl>
    <w:p/>
    <w:p>
      <w:pPr>
        <w:pStyle w:val="Heading1"/>
      </w:pPr>
      <w:r>
        <w:t>9. Protection Posture</w:t>
      </w:r>
    </w:p>
    <w:tbl>
      <w:tblPr>
        <w:tblStyle w:val="TableGrid"/>
        <w:tblW w:type="auto" w:w="0"/>
        <w:jc w:val="center"/>
        <w:tblLook w:firstColumn="1" w:firstRow="1" w:lastColumn="0" w:lastRow="0" w:noHBand="0" w:noVBand="1" w:val="04A0"/>
      </w:tblPr>
      <w:tblGrid>
        <w:gridCol w:w="5112"/>
        <w:gridCol w:w="5112"/>
      </w:tblGrid>
      <w:tr>
        <w:tc>
          <w:tcPr>
            <w:tcW w:type="dxa" w:w="2304"/>
            <w:shd w:fill="D9EAF7"/>
            <w:vAlign w:val="center"/>
          </w:tcPr>
          <w:p>
            <w:r/>
            <w:r>
              <w:rPr>
                <w:rFonts w:ascii="Aptos" w:hAnsi="Aptos"/>
                <w:b/>
                <w:sz w:val="18"/>
              </w:rPr>
              <w:t>Protection layer</w:t>
            </w:r>
          </w:p>
        </w:tc>
        <w:tc>
          <w:tcPr>
            <w:tcW w:type="dxa" w:w="6912"/>
            <w:shd w:fill="D9EAF7"/>
            <w:vAlign w:val="center"/>
          </w:tcPr>
          <w:p>
            <w:r/>
            <w:r>
              <w:rPr>
                <w:rFonts w:ascii="Aptos" w:hAnsi="Aptos"/>
                <w:b/>
                <w:sz w:val="18"/>
              </w:rPr>
              <w:t>Rule</w:t>
            </w:r>
          </w:p>
        </w:tc>
      </w:tr>
      <w:tr>
        <w:tc>
          <w:tcPr>
            <w:tcW w:type="dxa" w:w="2304"/>
            <w:vAlign w:val="top"/>
          </w:tcPr>
          <w:p>
            <w:r/>
            <w:r>
              <w:rPr>
                <w:rFonts w:ascii="Aptos" w:hAnsi="Aptos"/>
                <w:b w:val="0"/>
                <w:sz w:val="18"/>
              </w:rPr>
              <w:t>Authorship</w:t>
            </w:r>
          </w:p>
        </w:tc>
        <w:tc>
          <w:tcPr>
            <w:tcW w:type="dxa" w:w="6912"/>
            <w:vAlign w:val="top"/>
          </w:tcPr>
          <w:p>
            <w:r/>
            <w:r>
              <w:rPr>
                <w:rFonts w:ascii="Aptos" w:hAnsi="Aptos"/>
                <w:b w:val="0"/>
                <w:sz w:val="18"/>
              </w:rPr>
              <w:t>Logan Henderson remains originator / first author / framework architect unless a later manuscript has a justified co-first or senior-author arrangement.</w:t>
            </w:r>
          </w:p>
        </w:tc>
      </w:tr>
      <w:tr>
        <w:tc>
          <w:tcPr>
            <w:tcW w:type="dxa" w:w="2304"/>
            <w:vAlign w:val="top"/>
          </w:tcPr>
          <w:p>
            <w:r/>
            <w:r>
              <w:rPr>
                <w:rFonts w:ascii="Aptos" w:hAnsi="Aptos"/>
                <w:b w:val="0"/>
                <w:sz w:val="18"/>
              </w:rPr>
              <w:t>Attribution</w:t>
            </w:r>
          </w:p>
        </w:tc>
        <w:tc>
          <w:tcPr>
            <w:tcW w:type="dxa" w:w="6912"/>
            <w:vAlign w:val="top"/>
          </w:tcPr>
          <w:p>
            <w:r/>
            <w:r>
              <w:rPr>
                <w:rFonts w:ascii="Aptos" w:hAnsi="Aptos"/>
                <w:b w:val="0"/>
                <w:sz w:val="18"/>
              </w:rPr>
              <w:t>Raymond A. Hornsby is the human origin only after permission is recorded. Until then use RAY-001 in public documents.</w:t>
            </w:r>
          </w:p>
        </w:tc>
      </w:tr>
      <w:tr>
        <w:tc>
          <w:tcPr>
            <w:tcW w:type="dxa" w:w="2304"/>
            <w:vAlign w:val="top"/>
          </w:tcPr>
          <w:p>
            <w:r/>
            <w:r>
              <w:rPr>
                <w:rFonts w:ascii="Aptos" w:hAnsi="Aptos"/>
                <w:b w:val="0"/>
                <w:sz w:val="18"/>
              </w:rPr>
              <w:t>Privacy</w:t>
            </w:r>
          </w:p>
        </w:tc>
        <w:tc>
          <w:tcPr>
            <w:tcW w:type="dxa" w:w="6912"/>
            <w:vAlign w:val="top"/>
          </w:tcPr>
          <w:p>
            <w:r/>
            <w:r>
              <w:rPr>
                <w:rFonts w:ascii="Aptos" w:hAnsi="Aptos"/>
                <w:b w:val="0"/>
                <w:sz w:val="18"/>
              </w:rPr>
              <w:t>No MRN, full DOB, address, raw record, image report, clinical screenshot, or identifiable medical file goes public without consent and privacy review.</w:t>
            </w:r>
          </w:p>
        </w:tc>
      </w:tr>
      <w:tr>
        <w:tc>
          <w:tcPr>
            <w:tcW w:type="dxa" w:w="2304"/>
            <w:vAlign w:val="top"/>
          </w:tcPr>
          <w:p>
            <w:r/>
            <w:r>
              <w:rPr>
                <w:rFonts w:ascii="Aptos" w:hAnsi="Aptos"/>
                <w:b w:val="0"/>
                <w:sz w:val="18"/>
              </w:rPr>
              <w:t>License</w:t>
            </w:r>
          </w:p>
        </w:tc>
        <w:tc>
          <w:tcPr>
            <w:tcW w:type="dxa" w:w="6912"/>
            <w:vAlign w:val="top"/>
          </w:tcPr>
          <w:p>
            <w:r/>
            <w:r>
              <w:rPr>
                <w:rFonts w:ascii="Aptos" w:hAnsi="Aptos"/>
                <w:b w:val="0"/>
                <w:sz w:val="18"/>
              </w:rPr>
              <w:t>MIT for code/scripts/schemas. CC BY 4.0 for documents/forms/templates unless otherwise stated. No trademark license.</w:t>
            </w:r>
          </w:p>
        </w:tc>
      </w:tr>
      <w:tr>
        <w:tc>
          <w:tcPr>
            <w:tcW w:type="dxa" w:w="2304"/>
            <w:vAlign w:val="top"/>
          </w:tcPr>
          <w:p>
            <w:r/>
            <w:r>
              <w:rPr>
                <w:rFonts w:ascii="Aptos" w:hAnsi="Aptos"/>
                <w:b w:val="0"/>
                <w:sz w:val="18"/>
              </w:rPr>
              <w:t>Governance</w:t>
            </w:r>
          </w:p>
        </w:tc>
        <w:tc>
          <w:tcPr>
            <w:tcW w:type="dxa" w:w="6912"/>
            <w:vAlign w:val="top"/>
          </w:tcPr>
          <w:p>
            <w:r/>
            <w:r>
              <w:rPr>
                <w:rFonts w:ascii="Aptos" w:hAnsi="Aptos"/>
                <w:b w:val="0"/>
                <w:sz w:val="18"/>
              </w:rPr>
              <w:t>Controlled-substance content remains research-only and cannot include actionable how-to instructions.</w:t>
            </w:r>
          </w:p>
        </w:tc>
      </w:tr>
      <w:tr>
        <w:tc>
          <w:tcPr>
            <w:tcW w:type="dxa" w:w="2304"/>
            <w:vAlign w:val="top"/>
          </w:tcPr>
          <w:p>
            <w:r/>
            <w:r>
              <w:rPr>
                <w:rFonts w:ascii="Aptos" w:hAnsi="Aptos"/>
                <w:b w:val="0"/>
                <w:sz w:val="18"/>
              </w:rPr>
              <w:t>Repository integrity</w:t>
            </w:r>
          </w:p>
        </w:tc>
        <w:tc>
          <w:tcPr>
            <w:tcW w:type="dxa" w:w="6912"/>
            <w:vAlign w:val="top"/>
          </w:tcPr>
          <w:p>
            <w:r/>
            <w:r>
              <w:rPr>
                <w:rFonts w:ascii="Aptos" w:hAnsi="Aptos"/>
                <w:b w:val="0"/>
                <w:sz w:val="18"/>
              </w:rPr>
              <w:t>Every substantive change uses conventional commits and a changelog entry.</w:t>
            </w:r>
          </w:p>
        </w:tc>
      </w:tr>
    </w:tbl>
    <w:p/>
    <w:p>
      <w:pPr>
        <w:pStyle w:val="Heading1"/>
      </w:pPr>
      <w:r>
        <w:t>10. OSF Pre-Registration Trigger</w:t>
      </w:r>
    </w:p>
    <w:p>
      <w:r>
        <w:t>OSF pre-registration must be completed before any prospective data collection from any participant other than self-experimentation. No external subject data enters the repo or analysis pipeline without a pre-registration record number in the file header.</w:t>
      </w:r>
    </w:p>
    <w:p>
      <w:r>
        <w:t>Self-experimentation, literature synthesis, synthetic examples, and de-identified protocol development can occur before OSF registration, but any prospective data intended to contribute to generalizable knowledge should be routed through ethics/IRB or institutional determination as applicable.</w:t>
      </w:r>
    </w:p>
    <w:p>
      <w:pPr>
        <w:pStyle w:val="Heading1"/>
      </w:pPr>
      <w:r>
        <w:t>11. Version Control Rule</w:t>
      </w:r>
    </w:p>
    <w:p>
      <w:r>
        <w:t>Version increments require a documented reason in CHANGELOG.md. Only Logan Henderson may authorize changes to Sections 1, 2, 4, 9, 10, 11, 12, 13, and 14 of this guide. Other sections may be revised with a changelog entry and commit message that describes the change.</w:t>
      </w:r>
    </w:p>
    <w:tbl>
      <w:tblPr>
        <w:tblStyle w:val="TableGrid"/>
        <w:tblW w:type="auto" w:w="0"/>
        <w:jc w:val="center"/>
        <w:tblLook w:firstColumn="1" w:firstRow="1" w:lastColumn="0" w:lastRow="0" w:noHBand="0" w:noVBand="1" w:val="04A0"/>
      </w:tblPr>
      <w:tblGrid>
        <w:gridCol w:w="5112"/>
        <w:gridCol w:w="5112"/>
      </w:tblGrid>
      <w:tr>
        <w:tc>
          <w:tcPr>
            <w:tcW w:type="dxa" w:w="2304"/>
            <w:shd w:fill="D9EAF7"/>
            <w:vAlign w:val="center"/>
          </w:tcPr>
          <w:p>
            <w:r/>
            <w:r>
              <w:rPr>
                <w:rFonts w:ascii="Aptos" w:hAnsi="Aptos"/>
                <w:b/>
                <w:sz w:val="18"/>
              </w:rPr>
              <w:t>Version type</w:t>
            </w:r>
          </w:p>
        </w:tc>
        <w:tc>
          <w:tcPr>
            <w:tcW w:type="dxa" w:w="6912"/>
            <w:shd w:fill="D9EAF7"/>
            <w:vAlign w:val="center"/>
          </w:tcPr>
          <w:p>
            <w:r/>
            <w:r>
              <w:rPr>
                <w:rFonts w:ascii="Aptos" w:hAnsi="Aptos"/>
                <w:b/>
                <w:sz w:val="18"/>
              </w:rPr>
              <w:t>Trigger</w:t>
            </w:r>
          </w:p>
        </w:tc>
      </w:tr>
      <w:tr>
        <w:tc>
          <w:tcPr>
            <w:tcW w:type="dxa" w:w="2304"/>
            <w:vAlign w:val="top"/>
          </w:tcPr>
          <w:p>
            <w:r/>
            <w:r>
              <w:rPr>
                <w:rFonts w:ascii="Aptos" w:hAnsi="Aptos"/>
                <w:b w:val="0"/>
                <w:sz w:val="18"/>
              </w:rPr>
              <w:t>Patch: v0.2.1</w:t>
            </w:r>
          </w:p>
        </w:tc>
        <w:tc>
          <w:tcPr>
            <w:tcW w:type="dxa" w:w="6912"/>
            <w:vAlign w:val="top"/>
          </w:tcPr>
          <w:p>
            <w:r/>
            <w:r>
              <w:rPr>
                <w:rFonts w:ascii="Aptos" w:hAnsi="Aptos"/>
                <w:b w:val="0"/>
                <w:sz w:val="18"/>
              </w:rPr>
              <w:t>Typos, formatting, link updates, non-substantive edits.</w:t>
            </w:r>
          </w:p>
        </w:tc>
      </w:tr>
      <w:tr>
        <w:tc>
          <w:tcPr>
            <w:tcW w:type="dxa" w:w="2304"/>
            <w:vAlign w:val="top"/>
          </w:tcPr>
          <w:p>
            <w:r/>
            <w:r>
              <w:rPr>
                <w:rFonts w:ascii="Aptos" w:hAnsi="Aptos"/>
                <w:b w:val="0"/>
                <w:sz w:val="18"/>
              </w:rPr>
              <w:t>Minor: v0.3.0</w:t>
            </w:r>
          </w:p>
        </w:tc>
        <w:tc>
          <w:tcPr>
            <w:tcW w:type="dxa" w:w="6912"/>
            <w:vAlign w:val="top"/>
          </w:tcPr>
          <w:p>
            <w:r/>
            <w:r>
              <w:rPr>
                <w:rFonts w:ascii="Aptos" w:hAnsi="Aptos"/>
                <w:b w:val="0"/>
                <w:sz w:val="18"/>
              </w:rPr>
              <w:t>New sections, forms, schemas, definitions, or governance language.</w:t>
            </w:r>
          </w:p>
        </w:tc>
      </w:tr>
      <w:tr>
        <w:tc>
          <w:tcPr>
            <w:tcW w:type="dxa" w:w="2304"/>
            <w:vAlign w:val="top"/>
          </w:tcPr>
          <w:p>
            <w:r/>
            <w:r>
              <w:rPr>
                <w:rFonts w:ascii="Aptos" w:hAnsi="Aptos"/>
                <w:b w:val="0"/>
                <w:sz w:val="18"/>
              </w:rPr>
              <w:t>Major: v1.0.0</w:t>
            </w:r>
          </w:p>
        </w:tc>
        <w:tc>
          <w:tcPr>
            <w:tcW w:type="dxa" w:w="6912"/>
            <w:vAlign w:val="top"/>
          </w:tcPr>
          <w:p>
            <w:r/>
            <w:r>
              <w:rPr>
                <w:rFonts w:ascii="Aptos" w:hAnsi="Aptos"/>
                <w:b w:val="0"/>
                <w:sz w:val="18"/>
              </w:rPr>
              <w:t>OSF-registered, externally reviewable, public protocol release with stable claim rules and data dictionary.</w:t>
            </w:r>
          </w:p>
        </w:tc>
      </w:tr>
    </w:tbl>
    <w:p/>
    <w:p>
      <w:pPr>
        <w:pStyle w:val="Heading1"/>
      </w:pPr>
      <w:r>
        <w:t>12. Commit Standard</w:t>
      </w:r>
    </w:p>
    <w:p>
      <w:r>
        <w:t>Use conventional commit format: type(scope): summary.</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rFonts w:ascii="Aptos" w:hAnsi="Aptos"/>
                <w:b/>
                <w:sz w:val="18"/>
              </w:rPr>
              <w:t>Type</w:t>
            </w:r>
          </w:p>
        </w:tc>
        <w:tc>
          <w:tcPr>
            <w:tcW w:type="dxa" w:w="6624"/>
            <w:shd w:fill="D9EAF7"/>
            <w:vAlign w:val="center"/>
          </w:tcPr>
          <w:p>
            <w:r/>
            <w:r>
              <w:rPr>
                <w:rFonts w:ascii="Aptos" w:hAnsi="Aptos"/>
                <w:b/>
                <w:sz w:val="18"/>
              </w:rPr>
              <w:t>Example</w:t>
            </w:r>
          </w:p>
        </w:tc>
      </w:tr>
      <w:tr>
        <w:tc>
          <w:tcPr>
            <w:tcW w:type="dxa" w:w="2592"/>
            <w:vAlign w:val="top"/>
          </w:tcPr>
          <w:p>
            <w:r/>
            <w:r>
              <w:rPr>
                <w:rFonts w:ascii="Aptos" w:hAnsi="Aptos"/>
                <w:b w:val="0"/>
                <w:sz w:val="18"/>
              </w:rPr>
              <w:t>docs(protocol)</w:t>
            </w:r>
          </w:p>
        </w:tc>
        <w:tc>
          <w:tcPr>
            <w:tcW w:type="dxa" w:w="6624"/>
            <w:vAlign w:val="top"/>
          </w:tcPr>
          <w:p>
            <w:r/>
            <w:r>
              <w:rPr>
                <w:rFonts w:ascii="Aptos" w:hAnsi="Aptos"/>
                <w:b w:val="0"/>
                <w:sz w:val="18"/>
              </w:rPr>
              <w:t>docs(protocol): add inclusion and exclusion criteria v0.2</w:t>
            </w:r>
          </w:p>
        </w:tc>
      </w:tr>
      <w:tr>
        <w:tc>
          <w:tcPr>
            <w:tcW w:type="dxa" w:w="2592"/>
            <w:vAlign w:val="top"/>
          </w:tcPr>
          <w:p>
            <w:r/>
            <w:r>
              <w:rPr>
                <w:rFonts w:ascii="Aptos" w:hAnsi="Aptos"/>
                <w:b w:val="0"/>
                <w:sz w:val="18"/>
              </w:rPr>
              <w:t>feat(schema)</w:t>
            </w:r>
          </w:p>
        </w:tc>
        <w:tc>
          <w:tcPr>
            <w:tcW w:type="dxa" w:w="6624"/>
            <w:vAlign w:val="top"/>
          </w:tcPr>
          <w:p>
            <w:r/>
            <w:r>
              <w:rPr>
                <w:rFonts w:ascii="Aptos" w:hAnsi="Aptos"/>
                <w:b w:val="0"/>
                <w:sz w:val="18"/>
              </w:rPr>
              <w:t>feat(schema): add adverse_event.schema.json</w:t>
            </w:r>
          </w:p>
        </w:tc>
      </w:tr>
      <w:tr>
        <w:tc>
          <w:tcPr>
            <w:tcW w:type="dxa" w:w="2592"/>
            <w:vAlign w:val="top"/>
          </w:tcPr>
          <w:p>
            <w:r/>
            <w:r>
              <w:rPr>
                <w:rFonts w:ascii="Aptos" w:hAnsi="Aptos"/>
                <w:b w:val="0"/>
                <w:sz w:val="18"/>
              </w:rPr>
              <w:t>fix(evidence-map)</w:t>
            </w:r>
          </w:p>
        </w:tc>
        <w:tc>
          <w:tcPr>
            <w:tcW w:type="dxa" w:w="6624"/>
            <w:vAlign w:val="top"/>
          </w:tcPr>
          <w:p>
            <w:r/>
            <w:r>
              <w:rPr>
                <w:rFonts w:ascii="Aptos" w:hAnsi="Aptos"/>
                <w:b w:val="0"/>
                <w:sz w:val="18"/>
              </w:rPr>
              <w:t>fix(evidence-map): correct evidence grade for Bacopa from A to B</w:t>
            </w:r>
          </w:p>
        </w:tc>
      </w:tr>
      <w:tr>
        <w:tc>
          <w:tcPr>
            <w:tcW w:type="dxa" w:w="2592"/>
            <w:vAlign w:val="top"/>
          </w:tcPr>
          <w:p>
            <w:r/>
            <w:r>
              <w:rPr>
                <w:rFonts w:ascii="Aptos" w:hAnsi="Aptos"/>
                <w:b w:val="0"/>
                <w:sz w:val="18"/>
              </w:rPr>
              <w:t>legal(boundary)</w:t>
            </w:r>
          </w:p>
        </w:tc>
        <w:tc>
          <w:tcPr>
            <w:tcW w:type="dxa" w:w="6624"/>
            <w:vAlign w:val="top"/>
          </w:tcPr>
          <w:p>
            <w:r/>
            <w:r>
              <w:rPr>
                <w:rFonts w:ascii="Aptos" w:hAnsi="Aptos"/>
                <w:b w:val="0"/>
                <w:sz w:val="18"/>
              </w:rPr>
              <w:t>legal(boundary): clarify controlled-substance research layer</w:t>
            </w:r>
          </w:p>
        </w:tc>
      </w:tr>
      <w:tr>
        <w:tc>
          <w:tcPr>
            <w:tcW w:type="dxa" w:w="2592"/>
            <w:vAlign w:val="top"/>
          </w:tcPr>
          <w:p>
            <w:r/>
            <w:r>
              <w:rPr>
                <w:rFonts w:ascii="Aptos" w:hAnsi="Aptos"/>
                <w:b w:val="0"/>
                <w:sz w:val="18"/>
              </w:rPr>
              <w:t>privacy(repo)</w:t>
            </w:r>
          </w:p>
        </w:tc>
        <w:tc>
          <w:tcPr>
            <w:tcW w:type="dxa" w:w="6624"/>
            <w:vAlign w:val="top"/>
          </w:tcPr>
          <w:p>
            <w:r/>
            <w:r>
              <w:rPr>
                <w:rFonts w:ascii="Aptos" w:hAnsi="Aptos"/>
                <w:b w:val="0"/>
                <w:sz w:val="18"/>
              </w:rPr>
              <w:t>privacy(repo): remove identifiable source document from public folder</w:t>
            </w:r>
          </w:p>
        </w:tc>
      </w:tr>
    </w:tbl>
    <w:p/>
    <w:p>
      <w:pPr>
        <w:pStyle w:val="Heading1"/>
      </w:pPr>
      <w:r>
        <w:t>13. Contributor Qualification Standard</w:t>
      </w:r>
    </w:p>
    <w:p>
      <w:r>
        <w:t>Contributors submitting to protocol, clinical, safety, biomarker, neurophysiology, ethics, or controlled-substance sections must identify themselves with a professional affiliation, role, credential, or relevant expertise. Anonymous pull requests to these sections will not be merged without review and maintainer approval.</w:t>
      </w:r>
    </w:p>
    <w:p>
      <w:r>
        <w:t>General copy edits, formatting, typo fixes, schema cleanup, and non-clinical documentation improvements may be accepted from public contributors if they do not alter scientific, clinical, legal, or safety meaning.</w:t>
      </w:r>
    </w:p>
    <w:p>
      <w:pPr>
        <w:pStyle w:val="Heading1"/>
      </w:pPr>
      <w:r>
        <w:t>14. Conflict-of-Interest and Funding Statement</w:t>
      </w:r>
    </w:p>
    <w:p>
      <w:r>
        <w:t>RAY-VASC Regenerative Loop is a publication-only open-source research framework. No product line, supplement brand, retreat, clinic, or commercial treatment service is part of this repository.</w:t>
      </w:r>
    </w:p>
    <w:p>
      <w:r>
        <w:t>Logan Henderson is the originating researcher and operator of the public research repository. Any future financial, institutional, product, advisory, employment, equity, or clinical relationships related to this work must be disclosed in manuscripts, preprints, public materials, and repository governance files before publication or submission.</w:t>
      </w:r>
    </w:p>
    <w:p>
      <w:r>
        <w:t>Current funding status: self-funded documentation, repository development, and publication preparation unless otherwise stated in future files.</w:t>
      </w:r>
    </w:p>
    <w:p>
      <w:pPr>
        <w:pStyle w:val="Heading1"/>
      </w:pPr>
      <w:r>
        <w:t>15. Claim Rules</w:t>
      </w:r>
    </w:p>
    <w:tbl>
      <w:tblPr>
        <w:tblStyle w:val="TableGrid"/>
        <w:tblW w:type="auto" w:w="0"/>
        <w:jc w:val="center"/>
        <w:tblLook w:firstColumn="1" w:firstRow="1" w:lastColumn="0" w:lastRow="0" w:noHBand="0" w:noVBand="1" w:val="04A0"/>
      </w:tblPr>
      <w:tblGrid>
        <w:gridCol w:w="5112"/>
        <w:gridCol w:w="5112"/>
      </w:tblGrid>
      <w:tr>
        <w:tc>
          <w:tcPr>
            <w:tcW w:type="dxa" w:w="4608"/>
            <w:shd w:fill="D9EAF7"/>
            <w:vAlign w:val="center"/>
          </w:tcPr>
          <w:p>
            <w:r/>
            <w:r>
              <w:rPr>
                <w:rFonts w:ascii="Aptos" w:hAnsi="Aptos"/>
                <w:b/>
                <w:sz w:val="18"/>
              </w:rPr>
              <w:t>Allowed wording</w:t>
            </w:r>
          </w:p>
        </w:tc>
        <w:tc>
          <w:tcPr>
            <w:tcW w:type="dxa" w:w="4608"/>
            <w:shd w:fill="D9EAF7"/>
            <w:vAlign w:val="center"/>
          </w:tcPr>
          <w:p>
            <w:r/>
            <w:r>
              <w:rPr>
                <w:rFonts w:ascii="Aptos" w:hAnsi="Aptos"/>
                <w:b/>
                <w:sz w:val="18"/>
              </w:rPr>
              <w:t>Forbidden wording</w:t>
            </w:r>
          </w:p>
        </w:tc>
      </w:tr>
      <w:tr>
        <w:tc>
          <w:tcPr>
            <w:tcW w:type="dxa" w:w="4608"/>
            <w:vAlign w:val="top"/>
          </w:tcPr>
          <w:p>
            <w:r/>
            <w:r>
              <w:rPr>
                <w:rFonts w:ascii="Aptos" w:hAnsi="Aptos"/>
                <w:b w:val="0"/>
                <w:sz w:val="18"/>
              </w:rPr>
              <w:t>Hypothesis-generating framework</w:t>
            </w:r>
          </w:p>
        </w:tc>
        <w:tc>
          <w:tcPr>
            <w:tcW w:type="dxa" w:w="4608"/>
            <w:vAlign w:val="top"/>
          </w:tcPr>
          <w:p>
            <w:r/>
            <w:r>
              <w:rPr>
                <w:rFonts w:ascii="Aptos" w:hAnsi="Aptos"/>
                <w:b w:val="0"/>
                <w:sz w:val="18"/>
              </w:rPr>
              <w:t>Proven treatment</w:t>
            </w:r>
          </w:p>
        </w:tc>
      </w:tr>
      <w:tr>
        <w:tc>
          <w:tcPr>
            <w:tcW w:type="dxa" w:w="4608"/>
            <w:vAlign w:val="top"/>
          </w:tcPr>
          <w:p>
            <w:r/>
            <w:r>
              <w:rPr>
                <w:rFonts w:ascii="Aptos" w:hAnsi="Aptos"/>
                <w:b w:val="0"/>
                <w:sz w:val="18"/>
              </w:rPr>
              <w:t>May indicate a measurable signal</w:t>
            </w:r>
          </w:p>
        </w:tc>
        <w:tc>
          <w:tcPr>
            <w:tcW w:type="dxa" w:w="4608"/>
            <w:vAlign w:val="top"/>
          </w:tcPr>
          <w:p>
            <w:r/>
            <w:r>
              <w:rPr>
                <w:rFonts w:ascii="Aptos" w:hAnsi="Aptos"/>
                <w:b w:val="0"/>
                <w:sz w:val="18"/>
              </w:rPr>
              <w:t>Demonstrates cure</w:t>
            </w:r>
          </w:p>
        </w:tc>
      </w:tr>
      <w:tr>
        <w:tc>
          <w:tcPr>
            <w:tcW w:type="dxa" w:w="4608"/>
            <w:vAlign w:val="top"/>
          </w:tcPr>
          <w:p>
            <w:r/>
            <w:r>
              <w:rPr>
                <w:rFonts w:ascii="Aptos" w:hAnsi="Aptos"/>
                <w:b w:val="0"/>
                <w:sz w:val="18"/>
              </w:rPr>
              <w:t>Residual capacity hypothesis</w:t>
            </w:r>
          </w:p>
        </w:tc>
        <w:tc>
          <w:tcPr>
            <w:tcW w:type="dxa" w:w="4608"/>
            <w:vAlign w:val="top"/>
          </w:tcPr>
          <w:p>
            <w:r/>
            <w:r>
              <w:rPr>
                <w:rFonts w:ascii="Aptos" w:hAnsi="Aptos"/>
                <w:b w:val="0"/>
                <w:sz w:val="18"/>
              </w:rPr>
              <w:t>Reversal of neurodegeneration</w:t>
            </w:r>
          </w:p>
        </w:tc>
      </w:tr>
      <w:tr>
        <w:tc>
          <w:tcPr>
            <w:tcW w:type="dxa" w:w="4608"/>
            <w:vAlign w:val="top"/>
          </w:tcPr>
          <w:p>
            <w:r/>
            <w:r>
              <w:rPr>
                <w:rFonts w:ascii="Aptos" w:hAnsi="Aptos"/>
                <w:b w:val="0"/>
                <w:sz w:val="18"/>
              </w:rPr>
              <w:t>Lawful, clinically governed controlled-substance research layer</w:t>
            </w:r>
          </w:p>
        </w:tc>
        <w:tc>
          <w:tcPr>
            <w:tcW w:type="dxa" w:w="4608"/>
            <w:vAlign w:val="top"/>
          </w:tcPr>
          <w:p>
            <w:r/>
            <w:r>
              <w:rPr>
                <w:rFonts w:ascii="Aptos" w:hAnsi="Aptos"/>
                <w:b w:val="0"/>
                <w:sz w:val="18"/>
              </w:rPr>
              <w:t>Use this substance / dose this way</w:t>
            </w:r>
          </w:p>
        </w:tc>
      </w:tr>
      <w:tr>
        <w:tc>
          <w:tcPr>
            <w:tcW w:type="dxa" w:w="4608"/>
            <w:vAlign w:val="top"/>
          </w:tcPr>
          <w:p>
            <w:r/>
            <w:r>
              <w:rPr>
                <w:rFonts w:ascii="Aptos" w:hAnsi="Aptos"/>
                <w:b w:val="0"/>
                <w:sz w:val="18"/>
              </w:rPr>
              <w:t>As-administered observational exposure field</w:t>
            </w:r>
          </w:p>
        </w:tc>
        <w:tc>
          <w:tcPr>
            <w:tcW w:type="dxa" w:w="4608"/>
            <w:vAlign w:val="top"/>
          </w:tcPr>
          <w:p>
            <w:r/>
            <w:r>
              <w:rPr>
                <w:rFonts w:ascii="Aptos" w:hAnsi="Aptos"/>
                <w:b w:val="0"/>
                <w:sz w:val="18"/>
              </w:rPr>
              <w:t>Protocolized unsupervised controlled-substance use</w:t>
            </w:r>
          </w:p>
        </w:tc>
      </w:tr>
      <w:tr>
        <w:tc>
          <w:tcPr>
            <w:tcW w:type="dxa" w:w="4608"/>
            <w:vAlign w:val="top"/>
          </w:tcPr>
          <w:p>
            <w:r/>
            <w:r>
              <w:rPr>
                <w:rFonts w:ascii="Aptos" w:hAnsi="Aptos"/>
                <w:b w:val="0"/>
                <w:sz w:val="18"/>
              </w:rPr>
              <w:t>Evidence grade C / D / E where early</w:t>
            </w:r>
          </w:p>
        </w:tc>
        <w:tc>
          <w:tcPr>
            <w:tcW w:type="dxa" w:w="4608"/>
            <w:vAlign w:val="top"/>
          </w:tcPr>
          <w:p>
            <w:r/>
            <w:r>
              <w:rPr>
                <w:rFonts w:ascii="Aptos" w:hAnsi="Aptos"/>
                <w:b w:val="0"/>
                <w:sz w:val="18"/>
              </w:rPr>
              <w:t>Strong evidence where only pilot/preclinical data exist</w:t>
            </w:r>
          </w:p>
        </w:tc>
      </w:tr>
      <w:tr>
        <w:tc>
          <w:tcPr>
            <w:tcW w:type="dxa" w:w="4608"/>
            <w:vAlign w:val="top"/>
          </w:tcPr>
          <w:p>
            <w:r/>
            <w:r>
              <w:rPr>
                <w:rFonts w:ascii="Aptos" w:hAnsi="Aptos"/>
                <w:b w:val="0"/>
                <w:sz w:val="18"/>
              </w:rPr>
              <w:t>Designed for qualified teams under governance</w:t>
            </w:r>
          </w:p>
        </w:tc>
        <w:tc>
          <w:tcPr>
            <w:tcW w:type="dxa" w:w="4608"/>
            <w:vAlign w:val="top"/>
          </w:tcPr>
          <w:p>
            <w:r/>
            <w:r>
              <w:rPr>
                <w:rFonts w:ascii="Aptos" w:hAnsi="Aptos"/>
                <w:b w:val="0"/>
                <w:sz w:val="18"/>
              </w:rPr>
              <w:t>Anyone can implement clinically without oversight</w:t>
            </w:r>
          </w:p>
        </w:tc>
      </w:tr>
    </w:tbl>
    <w:p/>
    <w:p>
      <w:pPr>
        <w:pStyle w:val="Heading1"/>
      </w:pPr>
      <w:r>
        <w:t>16. Definition of Done</w:t>
      </w:r>
    </w:p>
    <w:p>
      <w:pPr>
        <w:pStyle w:val="ListBullet"/>
      </w:pPr>
      <w:r>
        <w:t>README clearly states publication-only research scope.</w:t>
      </w:r>
    </w:p>
    <w:p>
      <w:pPr>
        <w:pStyle w:val="ListBullet"/>
      </w:pPr>
      <w:r>
        <w:t>Privacy rule is public and enforced.</w:t>
      </w:r>
    </w:p>
    <w:p>
      <w:pPr>
        <w:pStyle w:val="ListBullet"/>
      </w:pPr>
      <w:r>
        <w:t>Controlled-substance boundary is public and clear.</w:t>
      </w:r>
    </w:p>
    <w:p>
      <w:pPr>
        <w:pStyle w:val="ListBullet"/>
      </w:pPr>
      <w:r>
        <w:t>Attribution status for Raymond is documented before any full-name public use beyond existing repo text.</w:t>
      </w:r>
    </w:p>
    <w:p>
      <w:pPr>
        <w:pStyle w:val="ListBullet"/>
      </w:pPr>
      <w:r>
        <w:t>OSF pre-registration trigger is written and enforced.</w:t>
      </w:r>
    </w:p>
    <w:p>
      <w:pPr>
        <w:pStyle w:val="ListBullet"/>
      </w:pPr>
      <w:r>
        <w:t>All core files have version numbers and changelog entries.</w:t>
      </w:r>
    </w:p>
    <w:p>
      <w:pPr>
        <w:pStyle w:val="ListBullet"/>
      </w:pPr>
      <w:r>
        <w:t>Every health/science claim is cited, graded, or labeled NEEDS CITATION.</w:t>
      </w:r>
    </w:p>
    <w:p>
      <w:pPr>
        <w:pStyle w:val="ListBullet"/>
      </w:pPr>
      <w:r>
        <w:t>No product-line language appears in public research documents.</w:t>
      </w:r>
    </w:p>
    <w:p>
      <w:pPr>
        <w:pStyle w:val="ListBullet"/>
      </w:pPr>
      <w:r>
        <w:t>No treatment, cure, reversal, dosing, sourcing, or administration claims appear in repo text.</w:t>
      </w:r>
    </w:p>
    <w:p>
      <w:pPr>
        <w:pStyle w:val="ListBullet"/>
      </w:pPr>
      <w:r>
        <w:t>Paper 1 and Paper 2 outlines are build-ready.</w:t>
      </w:r>
    </w:p>
    <w:p>
      <w:pPr>
        <w:pStyle w:val="Heading1"/>
      </w:pPr>
      <w:r>
        <w:t>17. Public Repo File Map</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D9EAF7"/>
            <w:vAlign w:val="center"/>
          </w:tcPr>
          <w:p>
            <w:r/>
            <w:r>
              <w:rPr>
                <w:rFonts w:ascii="Aptos" w:hAnsi="Aptos"/>
                <w:b/>
                <w:sz w:val="18"/>
              </w:rPr>
              <w:t>Priority</w:t>
            </w:r>
          </w:p>
        </w:tc>
        <w:tc>
          <w:tcPr>
            <w:tcW w:type="dxa" w:w="3456"/>
            <w:shd w:fill="D9EAF7"/>
            <w:vAlign w:val="center"/>
          </w:tcPr>
          <w:p>
            <w:r/>
            <w:r>
              <w:rPr>
                <w:rFonts w:ascii="Aptos" w:hAnsi="Aptos"/>
                <w:b/>
                <w:sz w:val="18"/>
              </w:rPr>
              <w:t>File</w:t>
            </w:r>
          </w:p>
        </w:tc>
        <w:tc>
          <w:tcPr>
            <w:tcW w:type="dxa" w:w="4752"/>
            <w:shd w:fill="D9EAF7"/>
            <w:vAlign w:val="center"/>
          </w:tcPr>
          <w:p>
            <w:r/>
            <w:r>
              <w:rPr>
                <w:rFonts w:ascii="Aptos" w:hAnsi="Aptos"/>
                <w:b/>
                <w:sz w:val="18"/>
              </w:rPr>
              <w:t>Purpose</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README.md</w:t>
            </w:r>
          </w:p>
        </w:tc>
        <w:tc>
          <w:tcPr>
            <w:tcW w:type="dxa" w:w="4752"/>
            <w:vAlign w:val="top"/>
          </w:tcPr>
          <w:p>
            <w:r/>
            <w:r>
              <w:rPr>
                <w:rFonts w:ascii="Aptos" w:hAnsi="Aptos"/>
                <w:b w:val="0"/>
                <w:sz w:val="18"/>
              </w:rPr>
              <w:t>Public mission and boundary.</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LICENSE</w:t>
            </w:r>
          </w:p>
        </w:tc>
        <w:tc>
          <w:tcPr>
            <w:tcW w:type="dxa" w:w="4752"/>
            <w:vAlign w:val="top"/>
          </w:tcPr>
          <w:p>
            <w:r/>
            <w:r>
              <w:rPr>
                <w:rFonts w:ascii="Aptos" w:hAnsi="Aptos"/>
                <w:b w:val="0"/>
                <w:sz w:val="18"/>
              </w:rPr>
              <w:t>MIT code license for GitHub detection.</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LICENSE-DOCS-CC-BY-4.0.txt</w:t>
            </w:r>
          </w:p>
        </w:tc>
        <w:tc>
          <w:tcPr>
            <w:tcW w:type="dxa" w:w="4752"/>
            <w:vAlign w:val="top"/>
          </w:tcPr>
          <w:p>
            <w:r/>
            <w:r>
              <w:rPr>
                <w:rFonts w:ascii="Aptos" w:hAnsi="Aptos"/>
                <w:b w:val="0"/>
                <w:sz w:val="18"/>
              </w:rPr>
              <w:t>Documentation license.</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LICENSE-DUAL-NOTICE.md</w:t>
            </w:r>
          </w:p>
        </w:tc>
        <w:tc>
          <w:tcPr>
            <w:tcW w:type="dxa" w:w="4752"/>
            <w:vAlign w:val="top"/>
          </w:tcPr>
          <w:p>
            <w:r/>
            <w:r>
              <w:rPr>
                <w:rFonts w:ascii="Aptos" w:hAnsi="Aptos"/>
                <w:b w:val="0"/>
                <w:sz w:val="18"/>
              </w:rPr>
              <w:t>Split license explanation and no-trademark rule.</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REGULATORY_BOUNDARY.md</w:t>
            </w:r>
          </w:p>
        </w:tc>
        <w:tc>
          <w:tcPr>
            <w:tcW w:type="dxa" w:w="4752"/>
            <w:vAlign w:val="top"/>
          </w:tcPr>
          <w:p>
            <w:r/>
            <w:r>
              <w:rPr>
                <w:rFonts w:ascii="Aptos" w:hAnsi="Aptos"/>
                <w:b w:val="0"/>
                <w:sz w:val="18"/>
              </w:rPr>
              <w:t>Controlled-substance research boundary.</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ATTRIBUTION.md</w:t>
            </w:r>
          </w:p>
        </w:tc>
        <w:tc>
          <w:tcPr>
            <w:tcW w:type="dxa" w:w="4752"/>
            <w:vAlign w:val="top"/>
          </w:tcPr>
          <w:p>
            <w:r/>
            <w:r>
              <w:rPr>
                <w:rFonts w:ascii="Aptos" w:hAnsi="Aptos"/>
                <w:b w:val="0"/>
                <w:sz w:val="18"/>
              </w:rPr>
              <w:t>Authorship and Ray attribution rules.</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PRIVACY.md</w:t>
            </w:r>
          </w:p>
        </w:tc>
        <w:tc>
          <w:tcPr>
            <w:tcW w:type="dxa" w:w="4752"/>
            <w:vAlign w:val="top"/>
          </w:tcPr>
          <w:p>
            <w:r/>
            <w:r>
              <w:rPr>
                <w:rFonts w:ascii="Aptos" w:hAnsi="Aptos"/>
                <w:b w:val="0"/>
                <w:sz w:val="18"/>
              </w:rPr>
              <w:t>What cannot be published publicly.</w:t>
            </w:r>
          </w:p>
        </w:tc>
      </w:tr>
      <w:tr>
        <w:tc>
          <w:tcPr>
            <w:tcW w:type="dxa" w:w="1008"/>
            <w:vAlign w:val="top"/>
          </w:tcPr>
          <w:p>
            <w:r/>
            <w:r>
              <w:rPr>
                <w:rFonts w:ascii="Aptos" w:hAnsi="Aptos"/>
                <w:b w:val="0"/>
                <w:sz w:val="18"/>
              </w:rPr>
              <w:t>1</w:t>
            </w:r>
          </w:p>
        </w:tc>
        <w:tc>
          <w:tcPr>
            <w:tcW w:type="dxa" w:w="3456"/>
            <w:vAlign w:val="top"/>
          </w:tcPr>
          <w:p>
            <w:r/>
            <w:r>
              <w:rPr>
                <w:rFonts w:ascii="Aptos" w:hAnsi="Aptos"/>
                <w:b w:val="0"/>
                <w:sz w:val="18"/>
              </w:rPr>
              <w:t>CHANGELOG.md</w:t>
            </w:r>
          </w:p>
        </w:tc>
        <w:tc>
          <w:tcPr>
            <w:tcW w:type="dxa" w:w="4752"/>
            <w:vAlign w:val="top"/>
          </w:tcPr>
          <w:p>
            <w:r/>
            <w:r>
              <w:rPr>
                <w:rFonts w:ascii="Aptos" w:hAnsi="Aptos"/>
                <w:b w:val="0"/>
                <w:sz w:val="18"/>
              </w:rPr>
              <w:t>Version history and reason for changes.</w:t>
            </w:r>
          </w:p>
        </w:tc>
      </w:tr>
      <w:tr>
        <w:tc>
          <w:tcPr>
            <w:tcW w:type="dxa" w:w="1008"/>
            <w:vAlign w:val="top"/>
          </w:tcPr>
          <w:p>
            <w:r/>
            <w:r>
              <w:rPr>
                <w:rFonts w:ascii="Aptos" w:hAnsi="Aptos"/>
                <w:b w:val="0"/>
                <w:sz w:val="18"/>
              </w:rPr>
              <w:t>2</w:t>
            </w:r>
          </w:p>
        </w:tc>
        <w:tc>
          <w:tcPr>
            <w:tcW w:type="dxa" w:w="3456"/>
            <w:vAlign w:val="top"/>
          </w:tcPr>
          <w:p>
            <w:r/>
            <w:r>
              <w:rPr>
                <w:rFonts w:ascii="Aptos" w:hAnsi="Aptos"/>
                <w:b w:val="0"/>
                <w:sz w:val="18"/>
              </w:rPr>
              <w:t>docs/north-star-build-guide.md</w:t>
            </w:r>
          </w:p>
        </w:tc>
        <w:tc>
          <w:tcPr>
            <w:tcW w:type="dxa" w:w="4752"/>
            <w:vAlign w:val="top"/>
          </w:tcPr>
          <w:p>
            <w:r/>
            <w:r>
              <w:rPr>
                <w:rFonts w:ascii="Aptos" w:hAnsi="Aptos"/>
                <w:b w:val="0"/>
                <w:sz w:val="18"/>
              </w:rPr>
              <w:t>Markdown version of this guide.</w:t>
            </w:r>
          </w:p>
        </w:tc>
      </w:tr>
      <w:tr>
        <w:tc>
          <w:tcPr>
            <w:tcW w:type="dxa" w:w="1008"/>
            <w:vAlign w:val="top"/>
          </w:tcPr>
          <w:p>
            <w:r/>
            <w:r>
              <w:rPr>
                <w:rFonts w:ascii="Aptos" w:hAnsi="Aptos"/>
                <w:b w:val="0"/>
                <w:sz w:val="18"/>
              </w:rPr>
              <w:t>2</w:t>
            </w:r>
          </w:p>
        </w:tc>
        <w:tc>
          <w:tcPr>
            <w:tcW w:type="dxa" w:w="3456"/>
            <w:vAlign w:val="top"/>
          </w:tcPr>
          <w:p>
            <w:r/>
            <w:r>
              <w:rPr>
                <w:rFonts w:ascii="Aptos" w:hAnsi="Aptos"/>
                <w:b w:val="0"/>
                <w:sz w:val="18"/>
              </w:rPr>
              <w:t>docs/protocol-overview.md</w:t>
            </w:r>
          </w:p>
        </w:tc>
        <w:tc>
          <w:tcPr>
            <w:tcW w:type="dxa" w:w="4752"/>
            <w:vAlign w:val="top"/>
          </w:tcPr>
          <w:p>
            <w:r/>
            <w:r>
              <w:rPr>
                <w:rFonts w:ascii="Aptos" w:hAnsi="Aptos"/>
                <w:b w:val="0"/>
                <w:sz w:val="18"/>
              </w:rPr>
              <w:t>Public RAY-VASC protocol summary.</w:t>
            </w:r>
          </w:p>
        </w:tc>
      </w:tr>
      <w:tr>
        <w:tc>
          <w:tcPr>
            <w:tcW w:type="dxa" w:w="1008"/>
            <w:vAlign w:val="top"/>
          </w:tcPr>
          <w:p>
            <w:r/>
            <w:r>
              <w:rPr>
                <w:rFonts w:ascii="Aptos" w:hAnsi="Aptos"/>
                <w:b w:val="0"/>
                <w:sz w:val="18"/>
              </w:rPr>
              <w:t>2</w:t>
            </w:r>
          </w:p>
        </w:tc>
        <w:tc>
          <w:tcPr>
            <w:tcW w:type="dxa" w:w="3456"/>
            <w:vAlign w:val="top"/>
          </w:tcPr>
          <w:p>
            <w:r/>
            <w:r>
              <w:rPr>
                <w:rFonts w:ascii="Aptos" w:hAnsi="Aptos"/>
                <w:b w:val="0"/>
                <w:sz w:val="18"/>
              </w:rPr>
              <w:t>docs/three-phase-plasticity-architecture.md</w:t>
            </w:r>
          </w:p>
        </w:tc>
        <w:tc>
          <w:tcPr>
            <w:tcW w:type="dxa" w:w="4752"/>
            <w:vAlign w:val="top"/>
          </w:tcPr>
          <w:p>
            <w:r/>
            <w:r>
              <w:rPr>
                <w:rFonts w:ascii="Aptos" w:hAnsi="Aptos"/>
                <w:b w:val="0"/>
                <w:sz w:val="18"/>
              </w:rPr>
              <w:t>Pre-Load / Plasticity Window / Sustain model.</w:t>
            </w:r>
          </w:p>
        </w:tc>
      </w:tr>
      <w:tr>
        <w:tc>
          <w:tcPr>
            <w:tcW w:type="dxa" w:w="1008"/>
            <w:vAlign w:val="top"/>
          </w:tcPr>
          <w:p>
            <w:r/>
            <w:r>
              <w:rPr>
                <w:rFonts w:ascii="Aptos" w:hAnsi="Aptos"/>
                <w:b w:val="0"/>
                <w:sz w:val="18"/>
              </w:rPr>
              <w:t>2</w:t>
            </w:r>
          </w:p>
        </w:tc>
        <w:tc>
          <w:tcPr>
            <w:tcW w:type="dxa" w:w="3456"/>
            <w:vAlign w:val="top"/>
          </w:tcPr>
          <w:p>
            <w:r/>
            <w:r>
              <w:rPr>
                <w:rFonts w:ascii="Aptos" w:hAnsi="Aptos"/>
                <w:b w:val="0"/>
                <w:sz w:val="18"/>
              </w:rPr>
              <w:t>docs/evidence-map.md</w:t>
            </w:r>
          </w:p>
        </w:tc>
        <w:tc>
          <w:tcPr>
            <w:tcW w:type="dxa" w:w="4752"/>
            <w:vAlign w:val="top"/>
          </w:tcPr>
          <w:p>
            <w:r/>
            <w:r>
              <w:rPr>
                <w:rFonts w:ascii="Aptos" w:hAnsi="Aptos"/>
                <w:b w:val="0"/>
                <w:sz w:val="18"/>
              </w:rPr>
              <w:t>Claims, evidence grades, citations, gaps.</w:t>
            </w:r>
          </w:p>
        </w:tc>
      </w:tr>
      <w:tr>
        <w:tc>
          <w:tcPr>
            <w:tcW w:type="dxa" w:w="1008"/>
            <w:vAlign w:val="top"/>
          </w:tcPr>
          <w:p>
            <w:r/>
            <w:r>
              <w:rPr>
                <w:rFonts w:ascii="Aptos" w:hAnsi="Aptos"/>
                <w:b w:val="0"/>
                <w:sz w:val="18"/>
              </w:rPr>
              <w:t>3</w:t>
            </w:r>
          </w:p>
        </w:tc>
        <w:tc>
          <w:tcPr>
            <w:tcW w:type="dxa" w:w="3456"/>
            <w:vAlign w:val="top"/>
          </w:tcPr>
          <w:p>
            <w:r/>
            <w:r>
              <w:rPr>
                <w:rFonts w:ascii="Aptos" w:hAnsi="Aptos"/>
                <w:b w:val="0"/>
                <w:sz w:val="18"/>
              </w:rPr>
              <w:t>CONTRIBUTING.md</w:t>
            </w:r>
          </w:p>
        </w:tc>
        <w:tc>
          <w:tcPr>
            <w:tcW w:type="dxa" w:w="4752"/>
            <w:vAlign w:val="top"/>
          </w:tcPr>
          <w:p>
            <w:r/>
            <w:r>
              <w:rPr>
                <w:rFonts w:ascii="Aptos" w:hAnsi="Aptos"/>
                <w:b w:val="0"/>
                <w:sz w:val="18"/>
              </w:rPr>
              <w:t>Contributor qualification and PR standards.</w:t>
            </w:r>
          </w:p>
        </w:tc>
      </w:tr>
      <w:tr>
        <w:tc>
          <w:tcPr>
            <w:tcW w:type="dxa" w:w="1008"/>
            <w:vAlign w:val="top"/>
          </w:tcPr>
          <w:p>
            <w:r/>
            <w:r>
              <w:rPr>
                <w:rFonts w:ascii="Aptos" w:hAnsi="Aptos"/>
                <w:b w:val="0"/>
                <w:sz w:val="18"/>
              </w:rPr>
              <w:t>3</w:t>
            </w:r>
          </w:p>
        </w:tc>
        <w:tc>
          <w:tcPr>
            <w:tcW w:type="dxa" w:w="3456"/>
            <w:vAlign w:val="top"/>
          </w:tcPr>
          <w:p>
            <w:r/>
            <w:r>
              <w:rPr>
                <w:rFonts w:ascii="Aptos" w:hAnsi="Aptos"/>
                <w:b w:val="0"/>
                <w:sz w:val="18"/>
              </w:rPr>
              <w:t>forms/*.md</w:t>
            </w:r>
          </w:p>
        </w:tc>
        <w:tc>
          <w:tcPr>
            <w:tcW w:type="dxa" w:w="4752"/>
            <w:vAlign w:val="top"/>
          </w:tcPr>
          <w:p>
            <w:r/>
            <w:r>
              <w:rPr>
                <w:rFonts w:ascii="Aptos" w:hAnsi="Aptos"/>
                <w:b w:val="0"/>
                <w:sz w:val="18"/>
              </w:rPr>
              <w:t>Daily, weekly, AE, medication, confounder forms.</w:t>
            </w:r>
          </w:p>
        </w:tc>
      </w:tr>
      <w:tr>
        <w:tc>
          <w:tcPr>
            <w:tcW w:type="dxa" w:w="1008"/>
            <w:vAlign w:val="top"/>
          </w:tcPr>
          <w:p>
            <w:r/>
            <w:r>
              <w:rPr>
                <w:rFonts w:ascii="Aptos" w:hAnsi="Aptos"/>
                <w:b w:val="0"/>
                <w:sz w:val="18"/>
              </w:rPr>
              <w:t>3</w:t>
            </w:r>
          </w:p>
        </w:tc>
        <w:tc>
          <w:tcPr>
            <w:tcW w:type="dxa" w:w="3456"/>
            <w:vAlign w:val="top"/>
          </w:tcPr>
          <w:p>
            <w:r/>
            <w:r>
              <w:rPr>
                <w:rFonts w:ascii="Aptos" w:hAnsi="Aptos"/>
                <w:b w:val="0"/>
                <w:sz w:val="18"/>
              </w:rPr>
              <w:t>schemas/*.json</w:t>
            </w:r>
          </w:p>
        </w:tc>
        <w:tc>
          <w:tcPr>
            <w:tcW w:type="dxa" w:w="4752"/>
            <w:vAlign w:val="top"/>
          </w:tcPr>
          <w:p>
            <w:r/>
            <w:r>
              <w:rPr>
                <w:rFonts w:ascii="Aptos" w:hAnsi="Aptos"/>
                <w:b w:val="0"/>
                <w:sz w:val="18"/>
              </w:rPr>
              <w:t>Machine-readable data dictionaries.</w:t>
            </w:r>
          </w:p>
        </w:tc>
      </w:tr>
    </w:tbl>
    <w:p/>
    <w:p>
      <w:pPr>
        <w:pStyle w:val="Heading1"/>
      </w:pPr>
      <w:r>
        <w:t>18. Immediate Action Sequence</w:t>
      </w:r>
    </w:p>
    <w:p>
      <w:pPr>
        <w:pStyle w:val="ListNumber"/>
      </w:pPr>
      <w:r>
        <w:t>Remove product-line language from all public research documents.</w:t>
      </w:r>
    </w:p>
    <w:p>
      <w:pPr>
        <w:pStyle w:val="ListNumber"/>
      </w:pPr>
      <w:r>
        <w:t>Add this document as v0.2.0 and record the change in CHANGELOG.md.</w:t>
      </w:r>
    </w:p>
    <w:p>
      <w:pPr>
        <w:pStyle w:val="ListNumber"/>
      </w:pPr>
      <w:r>
        <w:t>Create PRIVACY.md before adding any further source documents.</w:t>
      </w:r>
    </w:p>
    <w:p>
      <w:pPr>
        <w:pStyle w:val="ListNumber"/>
      </w:pPr>
      <w:r>
        <w:t>Confirm public attribution permission for Raymond A. Hornsby or revert public naming to RAY-001 until permission is recorded.</w:t>
      </w:r>
    </w:p>
    <w:p>
      <w:pPr>
        <w:pStyle w:val="ListNumber"/>
      </w:pPr>
      <w:r>
        <w:t>Create OSF project shell before any external prospective subject data collection.</w:t>
      </w:r>
    </w:p>
    <w:p>
      <w:pPr>
        <w:pStyle w:val="ListNumber"/>
      </w:pPr>
      <w:r>
        <w:t>Build Paper 1 outline from the North Star and evidence map.</w:t>
      </w:r>
    </w:p>
    <w:p>
      <w:pPr>
        <w:pStyle w:val="ListNumber"/>
      </w:pPr>
      <w:r>
        <w:t>Build Paper 2 protocol manuscript from the RAY-VASC protocol spine.</w:t>
      </w:r>
    </w:p>
    <w:p>
      <w:pPr>
        <w:pStyle w:val="Heading1"/>
      </w:pPr>
      <w:r>
        <w:t>19. QA Blocks</w:t>
      </w:r>
    </w:p>
    <w:p>
      <w:pPr>
        <w:pStyle w:val="Heading2"/>
      </w:pPr>
      <w:r>
        <w:t>Discrepancies</w:t>
      </w:r>
    </w:p>
    <w:p>
      <w:r>
        <w:t>Prior v0.1 language referenced an associated product line. That is removed. This repository is publication-only research infrastructure.</w:t>
      </w:r>
    </w:p>
    <w:p>
      <w:pPr>
        <w:pStyle w:val="Heading2"/>
      </w:pPr>
      <w:r>
        <w:t>Assumptions</w:t>
      </w:r>
    </w:p>
    <w:p>
      <w:pPr>
        <w:pStyle w:val="ListBullet"/>
      </w:pPr>
      <w:r>
        <w:t>The public repository remains open-source and research-only.</w:t>
      </w:r>
    </w:p>
    <w:p>
      <w:pPr>
        <w:pStyle w:val="ListBullet"/>
      </w:pPr>
      <w:r>
        <w:t>The first public build goal is publication readiness, not commercialization.</w:t>
      </w:r>
    </w:p>
    <w:p>
      <w:pPr>
        <w:pStyle w:val="ListBullet"/>
      </w:pPr>
      <w:r>
        <w:t>Controlled-substance references remain research-only and lawful-governance-only.</w:t>
      </w:r>
    </w:p>
    <w:p>
      <w:pPr>
        <w:pStyle w:val="Heading2"/>
      </w:pPr>
      <w:r>
        <w:t>Open Questions / Gaps</w:t>
      </w:r>
    </w:p>
    <w:p>
      <w:pPr>
        <w:pStyle w:val="ListBullet"/>
      </w:pPr>
      <w:r>
        <w:t>Is public full-name attribution for Raymond A. Hornsby approved by Raymond or his authorized representative?</w:t>
      </w:r>
    </w:p>
    <w:p>
      <w:pPr>
        <w:pStyle w:val="ListBullet"/>
      </w:pPr>
      <w:r>
        <w:t>Which OSF project title will be used for preregistration?</w:t>
      </w:r>
    </w:p>
    <w:p>
      <w:pPr>
        <w:pStyle w:val="ListBullet"/>
      </w:pPr>
      <w:r>
        <w:t>Which external reviewer should review the protocol first: neurologist, biostatistician, or ethics/IRB consultant?</w:t>
      </w:r>
    </w:p>
    <w:p>
      <w:pPr>
        <w:pStyle w:val="Heading2"/>
      </w:pPr>
      <w:r>
        <w:t>References</w:t>
      </w:r>
    </w:p>
    <w:p>
      <w:r>
        <w:t>This document is a governance and build guide derived from the internal RAY-VASC publication plan, protocol materials, and user-provided audit notes. Formal manuscripts must include external citations for all scientific, clinical, regulatory, and mechanism claims.</w:t>
      </w:r>
    </w:p>
    <w:p>
      <w:r>
        <w:br w:type="page"/>
      </w:r>
    </w:p>
    <w:p>
      <w:pPr>
        <w:pStyle w:val="Heading1"/>
      </w:pPr>
      <w:r>
        <w:t>Appendix A — Changelog</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D9EAF7"/>
            <w:vAlign w:val="center"/>
          </w:tcPr>
          <w:p>
            <w:r/>
            <w:r>
              <w:rPr>
                <w:rFonts w:ascii="Aptos" w:hAnsi="Aptos"/>
                <w:b/>
                <w:sz w:val="18"/>
              </w:rPr>
              <w:t>Version</w:t>
            </w:r>
          </w:p>
        </w:tc>
        <w:tc>
          <w:tcPr>
            <w:tcW w:type="dxa" w:w="1584"/>
            <w:shd w:fill="D9EAF7"/>
            <w:vAlign w:val="center"/>
          </w:tcPr>
          <w:p>
            <w:r/>
            <w:r>
              <w:rPr>
                <w:rFonts w:ascii="Aptos" w:hAnsi="Aptos"/>
                <w:b/>
                <w:sz w:val="18"/>
              </w:rPr>
              <w:t>Date</w:t>
            </w:r>
          </w:p>
        </w:tc>
        <w:tc>
          <w:tcPr>
            <w:tcW w:type="dxa" w:w="6192"/>
            <w:shd w:fill="D9EAF7"/>
            <w:vAlign w:val="center"/>
          </w:tcPr>
          <w:p>
            <w:r/>
            <w:r>
              <w:rPr>
                <w:rFonts w:ascii="Aptos" w:hAnsi="Aptos"/>
                <w:b/>
                <w:sz w:val="18"/>
              </w:rPr>
              <w:t>Change</w:t>
            </w:r>
          </w:p>
        </w:tc>
      </w:tr>
      <w:tr>
        <w:tc>
          <w:tcPr>
            <w:tcW w:type="dxa" w:w="1440"/>
            <w:vAlign w:val="top"/>
          </w:tcPr>
          <w:p>
            <w:r/>
            <w:r>
              <w:rPr>
                <w:rFonts w:ascii="Aptos" w:hAnsi="Aptos"/>
                <w:b w:val="0"/>
                <w:sz w:val="18"/>
              </w:rPr>
              <w:t>0.2.0</w:t>
            </w:r>
          </w:p>
        </w:tc>
        <w:tc>
          <w:tcPr>
            <w:tcW w:type="dxa" w:w="1584"/>
            <w:vAlign w:val="top"/>
          </w:tcPr>
          <w:p>
            <w:r/>
            <w:r>
              <w:rPr>
                <w:rFonts w:ascii="Aptos" w:hAnsi="Aptos"/>
                <w:b w:val="0"/>
                <w:sz w:val="18"/>
              </w:rPr>
              <w:t>2026-06-06</w:t>
            </w:r>
          </w:p>
        </w:tc>
        <w:tc>
          <w:tcPr>
            <w:tcW w:type="dxa" w:w="6192"/>
            <w:vAlign w:val="top"/>
          </w:tcPr>
          <w:p>
            <w:r/>
            <w:r>
              <w:rPr>
                <w:rFonts w:ascii="Aptos" w:hAnsi="Aptos"/>
                <w:b w:val="0"/>
                <w:sz w:val="18"/>
              </w:rPr>
              <w:t>Removed product-line language; established publication-only scope; added OSF trigger, version governance, commit standard, contributor qualification, and COI/funding statement.</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RAY-VASC North Star + Build Guide v0.2.0 | Publication-only research framework | Not medical advice.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RAY-VASC North Star + Build Guide v0.2.0 — Publication-Only Public Research Framework</dc:title>
  <dc:subject>Open-source neuroplasticity research publication framework</dc:subject>
  <dc:creator>Logan Henderson</dc:creator>
  <cp:keywords>RAY-VASC, Regenerative Loop, APPRE, neuroplasticity, protocol, publication, open-source research</cp:keywords>
  <dc:description>Created as a publication-only public research framework; no product line scope.</dc:description>
  <cp:lastModifiedBy/>
  <cp:revision>1</cp:revision>
  <dcterms:created xsi:type="dcterms:W3CDTF">2013-12-23T23:15:00Z</dcterms:created>
  <dcterms:modified xsi:type="dcterms:W3CDTF">2013-12-23T23:15:00Z</dcterms:modified>
  <cp:category/>
</cp:coreProperties>
</file>