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  <w:r>
        <w:rPr>
          <w:b/>
        </w:rPr>
        <w:t xml:space="preserve"> | TARGET: WYNWOOD TECH</w:t>
      </w:r>
    </w:p>
    <w:p>
      <w:pPr>
        <w:jc w:val="center"/>
      </w:pPr>
      <w:r>
        <w:rPr>
          <w:color w:val="4B5563"/>
          <w:sz w:val="17"/>
        </w:rPr>
        <w:t>Dresden, Germany | Remote Germany / EU | GitHub: github.com/onlyhouse1980 | LinkedIn: [ADD URL] | [ADD EMAIL] | [ADD PHONE]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focused on React, Next.js, Node.js-style application logic and API integrations. Experienced with authentication/OAuth, MongoDB-backed applications, headless/content tooling experiments and production-style product workflows. Strongest fit is modern JavaScript full-stack work where frontend delivery, backend integration and independent ownership are all required.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Auth0 exposure · Sanity exposure · Headless CMS concepts · API integration</w:t>
      </w:r>
    </w:p>
    <w:p>
      <w:r>
        <w:rPr>
          <w:b/>
        </w:rPr>
        <w:t xml:space="preserve">Current development focus: </w:t>
      </w:r>
      <w:r>
        <w:t>TypeScript and Playwright; public GitHub also contains Auth0 and Sanity-related repositories that can be discussed as hands-on experimentation.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[ADD CEFR LEVEL] | Based in Dresden, Germany | Remote Germany / 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