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8A8AA" w14:textId="77777777" w:rsidR="00EC3795" w:rsidRPr="00EC3795" w:rsidRDefault="00EC3795" w:rsidP="00EC3795">
      <w:pPr>
        <w:widowControl/>
        <w:rPr>
          <w:rFonts w:ascii="新細明體" w:eastAsia="新細明體" w:hAnsi="新細明體" w:cs="新細明體"/>
          <w:kern w:val="0"/>
          <w:szCs w:val="24"/>
        </w:rPr>
      </w:pPr>
      <w:r w:rsidRPr="00EC3795">
        <w:rPr>
          <w:rFonts w:ascii="新細明體" w:eastAsia="新細明體" w:hAnsi="新細明體" w:cs="新細明體"/>
          <w:kern w:val="0"/>
          <w:szCs w:val="24"/>
        </w:rPr>
        <w:pict w14:anchorId="5D60BA51">
          <v:rect id="_x0000_i1025" style="width:0;height:1.5pt" o:hralign="center" o:hrstd="t" o:hr="t" fillcolor="#a0a0a0" stroked="f"/>
        </w:pict>
      </w:r>
    </w:p>
    <w:p w14:paraId="2CCB6989" w14:textId="77777777" w:rsidR="00EC3795" w:rsidRPr="00EC3795" w:rsidRDefault="00EC3795" w:rsidP="00EC3795">
      <w:pPr>
        <w:widowControl/>
        <w:spacing w:before="100" w:beforeAutospacing="1" w:after="100" w:afterAutospacing="1"/>
        <w:outlineLvl w:val="1"/>
        <w:rPr>
          <w:rFonts w:ascii="新細明體" w:eastAsia="新細明體" w:hAnsi="新細明體" w:cs="新細明體"/>
          <w:b/>
          <w:bCs/>
          <w:kern w:val="0"/>
          <w:sz w:val="36"/>
          <w:szCs w:val="36"/>
        </w:rPr>
      </w:pPr>
      <w:r w:rsidRPr="00EC3795">
        <w:rPr>
          <w:rFonts w:ascii="新細明體" w:eastAsia="新細明體" w:hAnsi="新細明體" w:cs="新細明體"/>
          <w:b/>
          <w:bCs/>
          <w:kern w:val="0"/>
          <w:sz w:val="36"/>
          <w:szCs w:val="36"/>
        </w:rPr>
        <w:t xml:space="preserve">BRICK RUSH 99 </w:t>
      </w:r>
      <w:proofErr w:type="gramStart"/>
      <w:r w:rsidRPr="00EC3795">
        <w:rPr>
          <w:rFonts w:ascii="新細明體" w:eastAsia="新細明體" w:hAnsi="新細明體" w:cs="新細明體"/>
          <w:b/>
          <w:bCs/>
          <w:kern w:val="0"/>
          <w:sz w:val="36"/>
          <w:szCs w:val="36"/>
        </w:rPr>
        <w:t>—</w:t>
      </w:r>
      <w:proofErr w:type="gramEnd"/>
      <w:r w:rsidRPr="00EC3795">
        <w:rPr>
          <w:rFonts w:ascii="新細明體" w:eastAsia="新細明體" w:hAnsi="新細明體" w:cs="新細明體"/>
          <w:b/>
          <w:bCs/>
          <w:kern w:val="0"/>
          <w:sz w:val="36"/>
          <w:szCs w:val="36"/>
        </w:rPr>
        <w:t xml:space="preserve"> 化學元素技能 UI 企畫書（v2）</w:t>
      </w:r>
    </w:p>
    <w:p w14:paraId="129C7634" w14:textId="77777777" w:rsidR="00EC3795" w:rsidRPr="00EC3795" w:rsidRDefault="00EC3795" w:rsidP="00EC3795">
      <w:pPr>
        <w:widowControl/>
        <w:spacing w:before="100" w:beforeAutospacing="1" w:after="100" w:afterAutospacing="1"/>
        <w:outlineLvl w:val="2"/>
        <w:rPr>
          <w:rFonts w:ascii="新細明體" w:eastAsia="新細明體" w:hAnsi="新細明體" w:cs="新細明體"/>
          <w:b/>
          <w:bCs/>
          <w:kern w:val="0"/>
          <w:sz w:val="27"/>
          <w:szCs w:val="27"/>
        </w:rPr>
      </w:pPr>
      <w:r w:rsidRPr="00EC3795">
        <w:rPr>
          <w:rFonts w:ascii="新細明體" w:eastAsia="新細明體" w:hAnsi="新細明體" w:cs="新細明體"/>
          <w:b/>
          <w:bCs/>
          <w:kern w:val="0"/>
          <w:sz w:val="27"/>
          <w:szCs w:val="27"/>
        </w:rPr>
        <w:t>一、單人模式：週期表背包與技能商店（雙層整合介面）</w:t>
      </w:r>
    </w:p>
    <w:p w14:paraId="176F5CAB" w14:textId="77777777" w:rsidR="00EC3795" w:rsidRPr="00EC3795" w:rsidRDefault="00EC3795" w:rsidP="00EC3795">
      <w:pPr>
        <w:widowControl/>
        <w:numPr>
          <w:ilvl w:val="0"/>
          <w:numId w:val="8"/>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上半部（技能商店與裝備）</w:t>
      </w:r>
      <w:r w:rsidRPr="00EC3795">
        <w:rPr>
          <w:rFonts w:ascii="新細明體" w:eastAsia="新細明體" w:hAnsi="新細明體" w:cs="新細明體"/>
          <w:kern w:val="0"/>
          <w:szCs w:val="24"/>
        </w:rPr>
        <w:t xml:space="preserve">：顯示玩家的裝備槽（單人最多 5 </w:t>
      </w:r>
      <w:proofErr w:type="gramStart"/>
      <w:r w:rsidRPr="00EC3795">
        <w:rPr>
          <w:rFonts w:ascii="新細明體" w:eastAsia="新細明體" w:hAnsi="新細明體" w:cs="新細明體"/>
          <w:kern w:val="0"/>
          <w:szCs w:val="24"/>
        </w:rPr>
        <w:t>個</w:t>
      </w:r>
      <w:proofErr w:type="gramEnd"/>
      <w:r w:rsidRPr="00EC3795">
        <w:rPr>
          <w:rFonts w:ascii="新細明體" w:eastAsia="新細明體" w:hAnsi="新細明體" w:cs="新細明體"/>
          <w:kern w:val="0"/>
          <w:szCs w:val="24"/>
        </w:rPr>
        <w:t xml:space="preserve">）與可購買的技能卡片。 </w:t>
      </w:r>
    </w:p>
    <w:p w14:paraId="2642D34E" w14:textId="77777777" w:rsidR="00EC3795" w:rsidRPr="00EC3795" w:rsidRDefault="00EC3795" w:rsidP="00EC3795">
      <w:pPr>
        <w:widowControl/>
        <w:numPr>
          <w:ilvl w:val="1"/>
          <w:numId w:val="8"/>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kern w:val="0"/>
          <w:szCs w:val="24"/>
        </w:rPr>
        <w:t>技能卡片同時顯示三項資訊：化學式</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以正確的下標格式呈現，如 C</w:t>
      </w:r>
      <w:r w:rsidRPr="00EC3795">
        <w:rPr>
          <w:rFonts w:ascii="MS Gothic" w:eastAsia="MS Gothic" w:hAnsi="MS Gothic" w:cs="MS Gothic" w:hint="eastAsia"/>
          <w:kern w:val="0"/>
          <w:szCs w:val="24"/>
        </w:rPr>
        <w:t>₆</w:t>
      </w:r>
      <w:r w:rsidRPr="00EC3795">
        <w:rPr>
          <w:rFonts w:ascii="新細明體" w:eastAsia="新細明體" w:hAnsi="新細明體" w:cs="新細明體"/>
          <w:kern w:val="0"/>
          <w:szCs w:val="24"/>
        </w:rPr>
        <w:t>H</w:t>
      </w:r>
      <w:r w:rsidRPr="00EC3795">
        <w:rPr>
          <w:rFonts w:ascii="Times New Roman" w:eastAsia="新細明體" w:hAnsi="Times New Roman" w:cs="Times New Roman"/>
          <w:kern w:val="0"/>
          <w:szCs w:val="24"/>
        </w:rPr>
        <w:t>₁₂</w:t>
      </w:r>
      <w:r w:rsidRPr="00EC3795">
        <w:rPr>
          <w:rFonts w:ascii="新細明體" w:eastAsia="新細明體" w:hAnsi="新細明體" w:cs="新細明體"/>
          <w:kern w:val="0"/>
          <w:szCs w:val="24"/>
        </w:rPr>
        <w:t>O</w:t>
      </w:r>
      <w:r w:rsidRPr="00EC3795">
        <w:rPr>
          <w:rFonts w:ascii="MS Gothic" w:eastAsia="MS Gothic" w:hAnsi="MS Gothic" w:cs="MS Gothic" w:hint="eastAsia"/>
          <w:kern w:val="0"/>
          <w:szCs w:val="24"/>
        </w:rPr>
        <w:t>₆</w:t>
      </w:r>
      <w:r w:rsidRPr="00EC3795">
        <w:rPr>
          <w:rFonts w:ascii="新細明體" w:eastAsia="新細明體" w:hAnsi="新細明體" w:cs="新細明體"/>
          <w:kern w:val="0"/>
          <w:szCs w:val="24"/>
        </w:rPr>
        <w:t>）、分子量（作為售價／裝備點數）、所需原子總數。分子量代表「貴不貴」，原子總數代表「好</w:t>
      </w:r>
      <w:proofErr w:type="gramStart"/>
      <w:r w:rsidRPr="00EC3795">
        <w:rPr>
          <w:rFonts w:ascii="新細明體" w:eastAsia="新細明體" w:hAnsi="新細明體" w:cs="新細明體"/>
          <w:kern w:val="0"/>
          <w:szCs w:val="24"/>
        </w:rPr>
        <w:t>不好湊</w:t>
      </w:r>
      <w:proofErr w:type="gramEnd"/>
      <w:r w:rsidRPr="00EC3795">
        <w:rPr>
          <w:rFonts w:ascii="新細明體" w:eastAsia="新細明體" w:hAnsi="新細明體" w:cs="新細明體"/>
          <w:kern w:val="0"/>
          <w:szCs w:val="24"/>
        </w:rPr>
        <w:t>」，兩者並列讓玩家在購買前能同時評估成本與收集難度，不只看單一數字。</w:t>
      </w:r>
    </w:p>
    <w:p w14:paraId="6CB1203D" w14:textId="77777777" w:rsidR="00EC3795" w:rsidRPr="00EC3795" w:rsidRDefault="00EC3795" w:rsidP="00EC3795">
      <w:pPr>
        <w:widowControl/>
        <w:numPr>
          <w:ilvl w:val="0"/>
          <w:numId w:val="8"/>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下半部（動態週期表庫存）</w:t>
      </w:r>
      <w:r w:rsidRPr="00EC3795">
        <w:rPr>
          <w:rFonts w:ascii="新細明體" w:eastAsia="新細明體" w:hAnsi="新細明體" w:cs="新細明體"/>
          <w:kern w:val="0"/>
          <w:szCs w:val="24"/>
        </w:rPr>
        <w:t>：以完整的元素週期表作為背包，弱化左上角原子序視覺，將元素符號與擁有數量放到最大。</w:t>
      </w:r>
    </w:p>
    <w:p w14:paraId="622EBA3F" w14:textId="77777777" w:rsidR="00EC3795" w:rsidRPr="00EC3795" w:rsidRDefault="00EC3795" w:rsidP="00EC3795">
      <w:pPr>
        <w:widowControl/>
        <w:numPr>
          <w:ilvl w:val="0"/>
          <w:numId w:val="8"/>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視覺狀態區分</w:t>
      </w:r>
      <w:r w:rsidRPr="00EC3795">
        <w:rPr>
          <w:rFonts w:ascii="新細明體" w:eastAsia="新細明體" w:hAnsi="新細明體" w:cs="新細明體"/>
          <w:kern w:val="0"/>
          <w:szCs w:val="24"/>
        </w:rPr>
        <w:t>：庫存為 0 的元素以半透明灰階顯示；庫存大於 0 的元素格會亮起，</w:t>
      </w:r>
      <w:proofErr w:type="gramStart"/>
      <w:r w:rsidRPr="00EC3795">
        <w:rPr>
          <w:rFonts w:ascii="新細明體" w:eastAsia="新細明體" w:hAnsi="新細明體" w:cs="新細明體"/>
          <w:kern w:val="0"/>
          <w:szCs w:val="24"/>
        </w:rPr>
        <w:t>並疊加</w:t>
      </w:r>
      <w:proofErr w:type="gramEnd"/>
      <w:r w:rsidRPr="00EC3795">
        <w:rPr>
          <w:rFonts w:ascii="新細明體" w:eastAsia="新細明體" w:hAnsi="新細明體" w:cs="新細明體"/>
          <w:kern w:val="0"/>
          <w:szCs w:val="24"/>
        </w:rPr>
        <w:t>電玩風格的螢光計數標籤（如 x3）。</w:t>
      </w:r>
    </w:p>
    <w:p w14:paraId="35ABE6EB" w14:textId="77777777" w:rsidR="00EC3795" w:rsidRPr="00EC3795" w:rsidRDefault="00EC3795" w:rsidP="00EC3795">
      <w:pPr>
        <w:widowControl/>
        <w:numPr>
          <w:ilvl w:val="0"/>
          <w:numId w:val="8"/>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連動引導特效</w:t>
      </w:r>
      <w:r w:rsidRPr="00EC3795">
        <w:rPr>
          <w:rFonts w:ascii="新細明體" w:eastAsia="新細明體" w:hAnsi="新細明體" w:cs="新細明體"/>
          <w:kern w:val="0"/>
          <w:szCs w:val="24"/>
        </w:rPr>
        <w:t>：玩家在</w:t>
      </w:r>
      <w:proofErr w:type="gramStart"/>
      <w:r w:rsidRPr="00EC3795">
        <w:rPr>
          <w:rFonts w:ascii="新細明體" w:eastAsia="新細明體" w:hAnsi="新細明體" w:cs="新細明體"/>
          <w:kern w:val="0"/>
          <w:szCs w:val="24"/>
        </w:rPr>
        <w:t>上半部點擊</w:t>
      </w:r>
      <w:proofErr w:type="gramEnd"/>
      <w:r w:rsidRPr="00EC3795">
        <w:rPr>
          <w:rFonts w:ascii="新細明體" w:eastAsia="新細明體" w:hAnsi="新細明體" w:cs="新細明體"/>
          <w:kern w:val="0"/>
          <w:szCs w:val="24"/>
        </w:rPr>
        <w:t>尚未購買的化合物技能時，下方週期表對應的元素格子會產生呼吸燈特效，引導玩家確認所需資源。</w:t>
      </w:r>
    </w:p>
    <w:p w14:paraId="1EC68BA8" w14:textId="77777777" w:rsidR="00EC3795" w:rsidRPr="00EC3795" w:rsidRDefault="00EC3795" w:rsidP="00EC3795">
      <w:pPr>
        <w:widowControl/>
        <w:spacing w:before="100" w:beforeAutospacing="1" w:after="100" w:afterAutospacing="1"/>
        <w:outlineLvl w:val="2"/>
        <w:rPr>
          <w:rFonts w:ascii="新細明體" w:eastAsia="新細明體" w:hAnsi="新細明體" w:cs="新細明體"/>
          <w:b/>
          <w:bCs/>
          <w:kern w:val="0"/>
          <w:sz w:val="27"/>
          <w:szCs w:val="27"/>
        </w:rPr>
      </w:pPr>
      <w:r w:rsidRPr="00EC3795">
        <w:rPr>
          <w:rFonts w:ascii="新細明體" w:eastAsia="新細明體" w:hAnsi="新細明體" w:cs="新細明體"/>
          <w:b/>
          <w:bCs/>
          <w:kern w:val="0"/>
          <w:sz w:val="27"/>
          <w:szCs w:val="27"/>
        </w:rPr>
        <w:t>二、局內動態收集 HUD（整合至底部狀態列）</w:t>
      </w:r>
    </w:p>
    <w:p w14:paraId="41E86E0B" w14:textId="77777777" w:rsidR="00EC3795" w:rsidRPr="00EC3795" w:rsidRDefault="00EC3795" w:rsidP="00EC3795">
      <w:pPr>
        <w:widowControl/>
        <w:numPr>
          <w:ilvl w:val="0"/>
          <w:numId w:val="9"/>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模式差異標示</w:t>
      </w:r>
      <w:r w:rsidRPr="00EC3795">
        <w:rPr>
          <w:rFonts w:ascii="新細明體" w:eastAsia="新細明體" w:hAnsi="新細明體" w:cs="新細明體"/>
          <w:kern w:val="0"/>
          <w:szCs w:val="24"/>
        </w:rPr>
        <w:t>：配方槽數量依模式顯示（單人 5 槽／多人 3 槽），文件與美術規格須明確區分；願望清單高光特效僅單人模式啟用，多人模式不顯示。</w:t>
      </w:r>
    </w:p>
    <w:p w14:paraId="0CD276D0" w14:textId="77777777" w:rsidR="00EC3795" w:rsidRPr="00EC3795" w:rsidRDefault="00EC3795" w:rsidP="00EC3795">
      <w:pPr>
        <w:widowControl/>
        <w:numPr>
          <w:ilvl w:val="0"/>
          <w:numId w:val="9"/>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空間替換</w:t>
      </w:r>
      <w:r w:rsidRPr="00EC3795">
        <w:rPr>
          <w:rFonts w:ascii="新細明體" w:eastAsia="新細明體" w:hAnsi="新細明體" w:cs="新細明體"/>
          <w:kern w:val="0"/>
          <w:szCs w:val="24"/>
        </w:rPr>
        <w:t>：遊戲正式開始後，隱藏原先底部的「操作說明」，將整條空間完全讓給「配方追蹤器」。</w:t>
      </w:r>
    </w:p>
    <w:p w14:paraId="0124C2BD" w14:textId="77777777" w:rsidR="00EC3795" w:rsidRPr="00EC3795" w:rsidRDefault="00EC3795" w:rsidP="00EC3795">
      <w:pPr>
        <w:widowControl/>
        <w:numPr>
          <w:ilvl w:val="0"/>
          <w:numId w:val="9"/>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配方槽進度表</w:t>
      </w:r>
      <w:r w:rsidRPr="00EC3795">
        <w:rPr>
          <w:rFonts w:ascii="新細明體" w:eastAsia="新細明體" w:hAnsi="新細明體" w:cs="新細明體"/>
          <w:kern w:val="0"/>
          <w:szCs w:val="24"/>
        </w:rPr>
        <w:t>：捨棄傳統進度條，依「配方優先權」（裝備順序）由左至右排列已裝備的技能，並直接以化學式作為動態計數器</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 xml:space="preserve">例如 </w:t>
      </w:r>
      <w:r w:rsidRPr="00EC3795">
        <w:rPr>
          <w:rFonts w:ascii="細明體" w:eastAsia="細明體" w:hAnsi="細明體" w:cs="細明體"/>
          <w:kern w:val="0"/>
          <w:szCs w:val="24"/>
        </w:rPr>
        <w:t>H: 0/2 | O: 0/1</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w:t>
      </w:r>
    </w:p>
    <w:p w14:paraId="7A4F7079" w14:textId="77777777" w:rsidR="00EC3795" w:rsidRPr="00EC3795" w:rsidRDefault="00EC3795" w:rsidP="00EC3795">
      <w:pPr>
        <w:widowControl/>
        <w:numPr>
          <w:ilvl w:val="0"/>
          <w:numId w:val="9"/>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吸收與發動回饋</w:t>
      </w:r>
      <w:r w:rsidRPr="00EC3795">
        <w:rPr>
          <w:rFonts w:ascii="新細明體" w:eastAsia="新細明體" w:hAnsi="新細明體" w:cs="新細明體"/>
          <w:kern w:val="0"/>
          <w:szCs w:val="24"/>
        </w:rPr>
        <w:t>：玩家打到元素時，最</w:t>
      </w:r>
      <w:proofErr w:type="gramStart"/>
      <w:r w:rsidRPr="00EC3795">
        <w:rPr>
          <w:rFonts w:ascii="新細明體" w:eastAsia="新細明體" w:hAnsi="新細明體" w:cs="新細明體"/>
          <w:kern w:val="0"/>
          <w:szCs w:val="24"/>
        </w:rPr>
        <w:t>左側（</w:t>
      </w:r>
      <w:proofErr w:type="gramEnd"/>
      <w:r w:rsidRPr="00EC3795">
        <w:rPr>
          <w:rFonts w:ascii="新細明體" w:eastAsia="新細明體" w:hAnsi="新細明體" w:cs="新細明體"/>
          <w:kern w:val="0"/>
          <w:szCs w:val="24"/>
        </w:rPr>
        <w:t>優先權最高）需要該元素的技能計數器會亮起跳動</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 xml:space="preserve">變成 </w:t>
      </w:r>
      <w:r w:rsidRPr="00EC3795">
        <w:rPr>
          <w:rFonts w:ascii="細明體" w:eastAsia="細明體" w:hAnsi="細明體" w:cs="細明體"/>
          <w:kern w:val="0"/>
          <w:szCs w:val="24"/>
        </w:rPr>
        <w:t>H: 1/2</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。當配方</w:t>
      </w:r>
      <w:proofErr w:type="gramStart"/>
      <w:r w:rsidRPr="00EC3795">
        <w:rPr>
          <w:rFonts w:ascii="新細明體" w:eastAsia="新細明體" w:hAnsi="新細明體" w:cs="新細明體"/>
          <w:kern w:val="0"/>
          <w:szCs w:val="24"/>
        </w:rPr>
        <w:t>集滿的瞬間</w:t>
      </w:r>
      <w:proofErr w:type="gramEnd"/>
      <w:r w:rsidRPr="00EC3795">
        <w:rPr>
          <w:rFonts w:ascii="新細明體" w:eastAsia="新細明體" w:hAnsi="新細明體" w:cs="新細明體"/>
          <w:kern w:val="0"/>
          <w:szCs w:val="24"/>
        </w:rPr>
        <w:t>，該區塊會爆發高光閃爍，並向畫面上方的擋板射出一道能量流，象徵技能自動發動，隨後計數器歸零。</w:t>
      </w:r>
    </w:p>
    <w:p w14:paraId="549ACB6B" w14:textId="77777777" w:rsidR="00EC3795" w:rsidRPr="00EC3795" w:rsidRDefault="00EC3795" w:rsidP="00EC3795">
      <w:pPr>
        <w:widowControl/>
        <w:numPr>
          <w:ilvl w:val="0"/>
          <w:numId w:val="9"/>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優先權搶</w:t>
      </w:r>
      <w:proofErr w:type="gramStart"/>
      <w:r w:rsidRPr="00EC3795">
        <w:rPr>
          <w:rFonts w:ascii="新細明體" w:eastAsia="新細明體" w:hAnsi="新細明體" w:cs="新細明體"/>
          <w:b/>
          <w:bCs/>
          <w:kern w:val="0"/>
          <w:szCs w:val="24"/>
        </w:rPr>
        <w:t>佔</w:t>
      </w:r>
      <w:proofErr w:type="gramEnd"/>
      <w:r w:rsidRPr="00EC3795">
        <w:rPr>
          <w:rFonts w:ascii="新細明體" w:eastAsia="新細明體" w:hAnsi="新細明體" w:cs="新細明體"/>
          <w:b/>
          <w:bCs/>
          <w:kern w:val="0"/>
          <w:szCs w:val="24"/>
        </w:rPr>
        <w:t>的倒退回饋（新增）</w:t>
      </w:r>
      <w:r w:rsidRPr="00EC3795">
        <w:rPr>
          <w:rFonts w:ascii="新細明體" w:eastAsia="新細明體" w:hAnsi="新細明體" w:cs="新細明體"/>
          <w:kern w:val="0"/>
          <w:szCs w:val="24"/>
        </w:rPr>
        <w:t>：因共用庫存消耗制的緣故，較低優先權的配方槽有可能因庫存被更高優先權的配方搶先扣除而使計數器往回掉</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 xml:space="preserve">例如 </w:t>
      </w:r>
      <w:r w:rsidRPr="00EC3795">
        <w:rPr>
          <w:rFonts w:ascii="細明體" w:eastAsia="細明體" w:hAnsi="細明體" w:cs="細明體"/>
          <w:kern w:val="0"/>
          <w:szCs w:val="24"/>
        </w:rPr>
        <w:t>C: 1/2</w:t>
      </w:r>
      <w:r w:rsidRPr="00EC3795">
        <w:rPr>
          <w:rFonts w:ascii="新細明體" w:eastAsia="新細明體" w:hAnsi="新細明體" w:cs="新細明體"/>
          <w:kern w:val="0"/>
          <w:szCs w:val="24"/>
        </w:rPr>
        <w:t xml:space="preserve"> 變回 </w:t>
      </w:r>
      <w:r w:rsidRPr="00EC3795">
        <w:rPr>
          <w:rFonts w:ascii="細明體" w:eastAsia="細明體" w:hAnsi="細明體" w:cs="細明體"/>
          <w:kern w:val="0"/>
          <w:szCs w:val="24"/>
        </w:rPr>
        <w:t>C: 0/2</w:t>
      </w:r>
      <w:proofErr w:type="gramStart"/>
      <w:r w:rsidRPr="00EC3795">
        <w:rPr>
          <w:rFonts w:ascii="新細明體" w:eastAsia="新細明體" w:hAnsi="新細明體" w:cs="新細明體"/>
          <w:kern w:val="0"/>
          <w:szCs w:val="24"/>
        </w:rPr>
        <w:t>）</w:t>
      </w:r>
      <w:proofErr w:type="gramEnd"/>
      <w:r w:rsidRPr="00EC3795">
        <w:rPr>
          <w:rFonts w:ascii="新細明體" w:eastAsia="新細明體" w:hAnsi="新細明體" w:cs="新細明體"/>
          <w:kern w:val="0"/>
          <w:szCs w:val="24"/>
        </w:rPr>
        <w:t>。此情境須有明確視覺區隔，避免玩家誤判為異常：</w:t>
      </w:r>
      <w:proofErr w:type="gramStart"/>
      <w:r w:rsidRPr="00EC3795">
        <w:rPr>
          <w:rFonts w:ascii="新細明體" w:eastAsia="新細明體" w:hAnsi="新細明體" w:cs="新細明體"/>
          <w:kern w:val="0"/>
          <w:szCs w:val="24"/>
        </w:rPr>
        <w:t>該槽位</w:t>
      </w:r>
      <w:proofErr w:type="gramEnd"/>
      <w:r w:rsidRPr="00EC3795">
        <w:rPr>
          <w:rFonts w:ascii="新細明體" w:eastAsia="新細明體" w:hAnsi="新細明體" w:cs="新細明體"/>
          <w:kern w:val="0"/>
          <w:szCs w:val="24"/>
        </w:rPr>
        <w:t>短暫閃爍一次</w:t>
      </w:r>
      <w:proofErr w:type="gramStart"/>
      <w:r w:rsidRPr="00EC3795">
        <w:rPr>
          <w:rFonts w:ascii="新細明體" w:eastAsia="新細明體" w:hAnsi="新細明體" w:cs="新細明體"/>
          <w:kern w:val="0"/>
          <w:szCs w:val="24"/>
        </w:rPr>
        <w:t>警示色</w:t>
      </w:r>
      <w:proofErr w:type="gramEnd"/>
      <w:r w:rsidRPr="00EC3795">
        <w:rPr>
          <w:rFonts w:ascii="新細明體" w:eastAsia="新細明體" w:hAnsi="新細明體" w:cs="新細明體"/>
          <w:kern w:val="0"/>
          <w:szCs w:val="24"/>
        </w:rPr>
        <w:t>，並帶出簡短提示（例如小圖</w:t>
      </w:r>
      <w:r w:rsidRPr="00EC3795">
        <w:rPr>
          <w:rFonts w:ascii="新細明體" w:eastAsia="新細明體" w:hAnsi="新細明體" w:cs="新細明體"/>
          <w:kern w:val="0"/>
          <w:szCs w:val="24"/>
        </w:rPr>
        <w:lastRenderedPageBreak/>
        <w:t>示或槽位名稱），標明「被優先權更高</w:t>
      </w:r>
      <w:proofErr w:type="gramStart"/>
      <w:r w:rsidRPr="00EC3795">
        <w:rPr>
          <w:rFonts w:ascii="新細明體" w:eastAsia="新細明體" w:hAnsi="新細明體" w:cs="新細明體"/>
          <w:kern w:val="0"/>
          <w:szCs w:val="24"/>
        </w:rPr>
        <w:t>的槽位領</w:t>
      </w:r>
      <w:proofErr w:type="gramEnd"/>
      <w:r w:rsidRPr="00EC3795">
        <w:rPr>
          <w:rFonts w:ascii="新細明體" w:eastAsia="新細明體" w:hAnsi="新細明體" w:cs="新細明體"/>
          <w:kern w:val="0"/>
          <w:szCs w:val="24"/>
        </w:rPr>
        <w:t>走」，讓玩家理解這是機制運作而非錯誤。</w:t>
      </w:r>
    </w:p>
    <w:p w14:paraId="517A97D2" w14:textId="77777777" w:rsidR="00EC3795" w:rsidRPr="00EC3795" w:rsidRDefault="00EC3795" w:rsidP="00EC3795">
      <w:pPr>
        <w:widowControl/>
        <w:spacing w:before="100" w:beforeAutospacing="1" w:after="100" w:afterAutospacing="1"/>
        <w:outlineLvl w:val="2"/>
        <w:rPr>
          <w:rFonts w:ascii="新細明體" w:eastAsia="新細明體" w:hAnsi="新細明體" w:cs="新細明體"/>
          <w:b/>
          <w:bCs/>
          <w:kern w:val="0"/>
          <w:sz w:val="27"/>
          <w:szCs w:val="27"/>
        </w:rPr>
      </w:pPr>
      <w:r w:rsidRPr="00EC3795">
        <w:rPr>
          <w:rFonts w:ascii="新細明體" w:eastAsia="新細明體" w:hAnsi="新細明體" w:cs="新細明體"/>
          <w:b/>
          <w:bCs/>
          <w:kern w:val="0"/>
          <w:sz w:val="27"/>
          <w:szCs w:val="27"/>
        </w:rPr>
        <w:t>三、關卡磚塊與視覺導引</w:t>
      </w:r>
    </w:p>
    <w:p w14:paraId="671F25DC" w14:textId="77777777" w:rsidR="00EC3795" w:rsidRPr="00EC3795" w:rsidRDefault="00EC3795" w:rsidP="00EC3795">
      <w:pPr>
        <w:widowControl/>
        <w:numPr>
          <w:ilvl w:val="0"/>
          <w:numId w:val="10"/>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磚塊層級調整</w:t>
      </w:r>
      <w:r w:rsidRPr="00EC3795">
        <w:rPr>
          <w:rFonts w:ascii="新細明體" w:eastAsia="新細明體" w:hAnsi="新細明體" w:cs="新細明體"/>
          <w:kern w:val="0"/>
          <w:szCs w:val="24"/>
        </w:rPr>
        <w:t>：磚塊上的化學元素符號（如 Na、Cl）須設定為最高視覺層級，確保玩家在高速移動的球與干擾中能一眼辨識目標。</w:t>
      </w:r>
    </w:p>
    <w:p w14:paraId="30FC4935" w14:textId="77777777" w:rsidR="00EC3795" w:rsidRPr="00EC3795" w:rsidRDefault="00EC3795" w:rsidP="00EC3795">
      <w:pPr>
        <w:widowControl/>
        <w:numPr>
          <w:ilvl w:val="0"/>
          <w:numId w:val="10"/>
        </w:numPr>
        <w:spacing w:before="100" w:beforeAutospacing="1" w:after="100" w:afterAutospacing="1"/>
        <w:rPr>
          <w:rFonts w:ascii="新細明體" w:eastAsia="新細明體" w:hAnsi="新細明體" w:cs="新細明體"/>
          <w:kern w:val="0"/>
          <w:szCs w:val="24"/>
        </w:rPr>
      </w:pPr>
      <w:r w:rsidRPr="00EC3795">
        <w:rPr>
          <w:rFonts w:ascii="新細明體" w:eastAsia="新細明體" w:hAnsi="新細明體" w:cs="新細明體"/>
          <w:b/>
          <w:bCs/>
          <w:kern w:val="0"/>
          <w:szCs w:val="24"/>
        </w:rPr>
        <w:t>願望清單高光（僅單人模式）</w:t>
      </w:r>
      <w:r w:rsidRPr="00EC3795">
        <w:rPr>
          <w:rFonts w:ascii="新細明體" w:eastAsia="新細明體" w:hAnsi="新細明體" w:cs="新細明體"/>
          <w:kern w:val="0"/>
          <w:szCs w:val="24"/>
        </w:rPr>
        <w:t>：玩家在單人商店中「</w:t>
      </w:r>
      <w:proofErr w:type="gramStart"/>
      <w:r w:rsidRPr="00EC3795">
        <w:rPr>
          <w:rFonts w:ascii="新細明體" w:eastAsia="新細明體" w:hAnsi="新細明體" w:cs="新細明體"/>
          <w:kern w:val="0"/>
          <w:szCs w:val="24"/>
        </w:rPr>
        <w:t>釘選</w:t>
      </w:r>
      <w:proofErr w:type="gramEnd"/>
      <w:r w:rsidRPr="00EC3795">
        <w:rPr>
          <w:rFonts w:ascii="新細明體" w:eastAsia="新細明體" w:hAnsi="新細明體" w:cs="新細明體"/>
          <w:kern w:val="0"/>
          <w:szCs w:val="24"/>
        </w:rPr>
        <w:t>」的目標技能配方，進入關卡後，含有該目標元素的磚塊會帶有微弱的專屬高光特效，主動引導玩家的視線與打擊策略。多人模式無此機制，磚塊視覺一律沿用常駐／</w:t>
      </w:r>
      <w:proofErr w:type="gramStart"/>
      <w:r w:rsidRPr="00EC3795">
        <w:rPr>
          <w:rFonts w:ascii="新細明體" w:eastAsia="新細明體" w:hAnsi="新細明體" w:cs="新細明體"/>
          <w:kern w:val="0"/>
          <w:szCs w:val="24"/>
        </w:rPr>
        <w:t>稀有池</w:t>
      </w:r>
      <w:proofErr w:type="gramEnd"/>
      <w:r w:rsidRPr="00EC3795">
        <w:rPr>
          <w:rFonts w:ascii="新細明體" w:eastAsia="新細明體" w:hAnsi="新細明體" w:cs="新細明體"/>
          <w:kern w:val="0"/>
          <w:szCs w:val="24"/>
        </w:rPr>
        <w:t>的一般呈現。</w:t>
      </w:r>
    </w:p>
    <w:p w14:paraId="41B87BCF" w14:textId="77777777" w:rsidR="00482FC7" w:rsidRPr="00EC3795" w:rsidRDefault="00482FC7" w:rsidP="00EC3795"/>
    <w:sectPr w:rsidR="00482FC7" w:rsidRPr="00EC379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A0260" w14:textId="77777777" w:rsidR="00E327B9" w:rsidRDefault="00E327B9" w:rsidP="00EC3795">
      <w:r>
        <w:separator/>
      </w:r>
    </w:p>
  </w:endnote>
  <w:endnote w:type="continuationSeparator" w:id="0">
    <w:p w14:paraId="708D4008" w14:textId="77777777" w:rsidR="00E327B9" w:rsidRDefault="00E327B9" w:rsidP="00EC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43D86" w14:textId="77777777" w:rsidR="00E327B9" w:rsidRDefault="00E327B9" w:rsidP="00EC3795">
      <w:r>
        <w:separator/>
      </w:r>
    </w:p>
  </w:footnote>
  <w:footnote w:type="continuationSeparator" w:id="0">
    <w:p w14:paraId="2073A6C7" w14:textId="77777777" w:rsidR="00E327B9" w:rsidRDefault="00E327B9" w:rsidP="00EC37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E9D"/>
    <w:multiLevelType w:val="multilevel"/>
    <w:tmpl w:val="7BE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710F6"/>
    <w:multiLevelType w:val="multilevel"/>
    <w:tmpl w:val="B892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A17B3"/>
    <w:multiLevelType w:val="multilevel"/>
    <w:tmpl w:val="C14E8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F65A5"/>
    <w:multiLevelType w:val="multilevel"/>
    <w:tmpl w:val="92BE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935F7"/>
    <w:multiLevelType w:val="multilevel"/>
    <w:tmpl w:val="2658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01E0C"/>
    <w:multiLevelType w:val="multilevel"/>
    <w:tmpl w:val="AF747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8638A"/>
    <w:multiLevelType w:val="multilevel"/>
    <w:tmpl w:val="F37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51BEB"/>
    <w:multiLevelType w:val="multilevel"/>
    <w:tmpl w:val="820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356A51"/>
    <w:multiLevelType w:val="multilevel"/>
    <w:tmpl w:val="E1F8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B2846"/>
    <w:multiLevelType w:val="multilevel"/>
    <w:tmpl w:val="92B48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9"/>
  </w:num>
  <w:num w:numId="4">
    <w:abstractNumId w:val="5"/>
  </w:num>
  <w:num w:numId="5">
    <w:abstractNumId w:val="7"/>
  </w:num>
  <w:num w:numId="6">
    <w:abstractNumId w:val="2"/>
  </w:num>
  <w:num w:numId="7">
    <w:abstractNumId w:val="0"/>
  </w:num>
  <w:num w:numId="8">
    <w:abstractNumId w:val="3"/>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5E"/>
    <w:rsid w:val="001E65E2"/>
    <w:rsid w:val="00220396"/>
    <w:rsid w:val="00482FC7"/>
    <w:rsid w:val="006F305E"/>
    <w:rsid w:val="00E327B9"/>
    <w:rsid w:val="00EC37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A8E858"/>
  <w15:chartTrackingRefBased/>
  <w15:docId w15:val="{D595B67C-1B15-43B1-A336-9202CE11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6F305E"/>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6F305E"/>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6F305E"/>
    <w:rPr>
      <w:rFonts w:ascii="新細明體" w:eastAsia="新細明體" w:hAnsi="新細明體" w:cs="新細明體"/>
      <w:b/>
      <w:bCs/>
      <w:kern w:val="0"/>
      <w:sz w:val="36"/>
      <w:szCs w:val="36"/>
    </w:rPr>
  </w:style>
  <w:style w:type="character" w:customStyle="1" w:styleId="30">
    <w:name w:val="標題 3 字元"/>
    <w:basedOn w:val="a0"/>
    <w:link w:val="3"/>
    <w:uiPriority w:val="9"/>
    <w:rsid w:val="006F305E"/>
    <w:rPr>
      <w:rFonts w:ascii="新細明體" w:eastAsia="新細明體" w:hAnsi="新細明體" w:cs="新細明體"/>
      <w:b/>
      <w:bCs/>
      <w:kern w:val="0"/>
      <w:sz w:val="27"/>
      <w:szCs w:val="27"/>
    </w:rPr>
  </w:style>
  <w:style w:type="paragraph" w:styleId="Web">
    <w:name w:val="Normal (Web)"/>
    <w:basedOn w:val="a"/>
    <w:uiPriority w:val="99"/>
    <w:semiHidden/>
    <w:unhideWhenUsed/>
    <w:rsid w:val="006F305E"/>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6F305E"/>
    <w:rPr>
      <w:b/>
      <w:bCs/>
    </w:rPr>
  </w:style>
  <w:style w:type="character" w:styleId="HTML">
    <w:name w:val="HTML Code"/>
    <w:basedOn w:val="a0"/>
    <w:uiPriority w:val="99"/>
    <w:semiHidden/>
    <w:unhideWhenUsed/>
    <w:rsid w:val="006F305E"/>
    <w:rPr>
      <w:rFonts w:ascii="細明體" w:eastAsia="細明體" w:hAnsi="細明體" w:cs="細明體"/>
      <w:sz w:val="24"/>
      <w:szCs w:val="24"/>
    </w:rPr>
  </w:style>
  <w:style w:type="paragraph" w:styleId="a4">
    <w:name w:val="header"/>
    <w:basedOn w:val="a"/>
    <w:link w:val="a5"/>
    <w:uiPriority w:val="99"/>
    <w:unhideWhenUsed/>
    <w:rsid w:val="00EC3795"/>
    <w:pPr>
      <w:tabs>
        <w:tab w:val="center" w:pos="4153"/>
        <w:tab w:val="right" w:pos="8306"/>
      </w:tabs>
      <w:snapToGrid w:val="0"/>
    </w:pPr>
    <w:rPr>
      <w:sz w:val="20"/>
      <w:szCs w:val="20"/>
    </w:rPr>
  </w:style>
  <w:style w:type="character" w:customStyle="1" w:styleId="a5">
    <w:name w:val="頁首 字元"/>
    <w:basedOn w:val="a0"/>
    <w:link w:val="a4"/>
    <w:uiPriority w:val="99"/>
    <w:rsid w:val="00EC3795"/>
    <w:rPr>
      <w:sz w:val="20"/>
      <w:szCs w:val="20"/>
    </w:rPr>
  </w:style>
  <w:style w:type="paragraph" w:styleId="a6">
    <w:name w:val="footer"/>
    <w:basedOn w:val="a"/>
    <w:link w:val="a7"/>
    <w:uiPriority w:val="99"/>
    <w:unhideWhenUsed/>
    <w:rsid w:val="00EC3795"/>
    <w:pPr>
      <w:tabs>
        <w:tab w:val="center" w:pos="4153"/>
        <w:tab w:val="right" w:pos="8306"/>
      </w:tabs>
      <w:snapToGrid w:val="0"/>
    </w:pPr>
    <w:rPr>
      <w:sz w:val="20"/>
      <w:szCs w:val="20"/>
    </w:rPr>
  </w:style>
  <w:style w:type="character" w:customStyle="1" w:styleId="a7">
    <w:name w:val="頁尾 字元"/>
    <w:basedOn w:val="a0"/>
    <w:link w:val="a6"/>
    <w:uiPriority w:val="99"/>
    <w:rsid w:val="00EC379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663917">
      <w:bodyDiv w:val="1"/>
      <w:marLeft w:val="0"/>
      <w:marRight w:val="0"/>
      <w:marTop w:val="0"/>
      <w:marBottom w:val="0"/>
      <w:divBdr>
        <w:top w:val="none" w:sz="0" w:space="0" w:color="auto"/>
        <w:left w:val="none" w:sz="0" w:space="0" w:color="auto"/>
        <w:bottom w:val="none" w:sz="0" w:space="0" w:color="auto"/>
        <w:right w:val="none" w:sz="0" w:space="0" w:color="auto"/>
      </w:divBdr>
    </w:div>
    <w:div w:id="1796946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BigBao Wu</dc:creator>
  <cp:keywords/>
  <dc:description/>
  <cp:lastModifiedBy>BigBao Wu</cp:lastModifiedBy>
  <cp:revision>2</cp:revision>
  <dcterms:created xsi:type="dcterms:W3CDTF">2026-09-04T00:30:00Z</dcterms:created>
  <dcterms:modified xsi:type="dcterms:W3CDTF">2026-09-04T00:30:00Z</dcterms:modified>
</cp:coreProperties>
</file>