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2"/>
        </w:rPr>
        <w:t>江西皮蛋科技有限公司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6"/>
        </w:rPr>
        <w:t>算法安全监测制度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第一章  总则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第一条（目的）为对在线提供服务的算法建立长效安全监测机制，及时发现并处置安全风险，制定本制度。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第二条（依据）本制度依据《互联网信息服务算法推荐管理规定》《互联网信息服务深度合成管理规定》《生成式人工智能服务管理暂行办法》等法律法规制定。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第三条（监测范围）本制度监测范围覆盖信息安全、数据安全、用户个人信息安全、算法安全四个部分，适用于 MOV AI 应用及配套服务的开发与上线后运行阶段。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第四条（责任机构）算法安全工作组负责监测制度的组织与监督，安全运维岗承担日常监测职责，发现异常按本制度第二十条报告。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第二章  信息安全监测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第五条  对算法生成内容开展日常巡查与定期抽检，检查生成内容过滤机制的运行有效性。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第六条  能力市场（配套网站 mow.kim）实行“先审后发”：第三方 AI 能力上架前须经人工审核其描述与来源，审核通过后方可展示；详情页设置显著来源提醒。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第七条  建立用户举报受理通道（应用内反馈渠道与网站），对举报内容限时核查处理。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第八条  监测中发现违法违规或不良信息内容的，立即作下线处理并留存证据，按规定向有关部门报告。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第三章  数据安全监测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第九条  实行数据分类分级管理，对账号数据、对话数据、凭证数据分类管理；数据采集遵循最小必要原则。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第十条  开发测试过程使用脱敏数据或构造数据，不得使用生产环境真实用户数据。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第十一条  监测下列技术措施的落实与有效性：用户敏感凭证端侧加密存储、受控注入，不落明文、不写入日志；网络传输全链路 HTTPS 加密；服务端日志对手机号等字段脱敏展示；服务端接口实行口令与令牌双重鉴权。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第十二条  定期开展数据安全检查，核查访问控制与加密措施的有效性。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第四章  用户个人信息安全监测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第十三条  制定并公示《隐私政策》，明示个人信息收集范围、使用目的与保存期限，并保持更新；用户注册环节明示并取得同意。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第十四条  监测个人信息查询、更正、删除及账号注销响应机制的落实情况，确保在承诺时限内处理用户请求。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第十五条  定期核查应用权限申请与第三方组件行为，防止超范围收集；账号服务接口设置访问频率限制，防范批量窃取。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第五章  算法安全监测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第十六条  落实算法上线审批制度，持续监测算法输出质量与异常行为。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第十七条  防范算法被恶意利用：工具调用实行权限分级与安装审批，涉及读取凭据、支付、身份等敏感能力一律默认拒绝；重点防范提示词注入攻击与越权工具调用。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第十八条  监测客户端防凭空声称校验机制的运行情况，降低模型幻觉对用户的误导风险。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第十九条  对异常调用频次进行监控与限流；第三方模型接口出现异常时切换备用模型或熔断降级；定期排查算法相关漏洞并及时修复。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第六章  监测记录与报告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第二十条  监测记录留档备查；发现异常按照“岗位人员—算法安全负责人—公司负责人”逐级报告；达到算法安全事件标准的，立即启动《算法安全事件应急处置预案》。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第七章  附则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第二十一条  本制度由算法安全工作组负责解释和修订。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第二十二条  本制度自发布之日起施行。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江西皮蛋科技有限公司</w:t>
      </w: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2026年8月27日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