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32"/>
        </w:rPr>
        <w:t>江西皮蛋科技有限公司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36"/>
        </w:rPr>
        <w:t>算法安全事件应急处置预案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第一章  总则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第一条（目的）为规范算法安全事件的应急处置，快速控制影响、降低损害，制定本预案。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第二条（依据）本预案依据《互联网信息服务算法推荐管理规定》《互联网信息服务深度合成管理规定》《生成式人工智能服务管理暂行办法》等法律法规制定。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第三条（适用范围）本预案适用于 MOV AI 应用及配套服务发生的算法安全事件的应急处置。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第四条（工作原则）预防为主、快速响应、分级处置、闭环整改。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第二章  组织体系与职责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第五条  算法安全工作组负责人为应急处置第一责任人，负责组织研判、指挥处置与对外报告。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第六条  岗位分工：算法研发岗负责技术处置（限流、熔断、下线、修复）；内容审核岗负责相关内容清查与证据固定；安全运维岗负责监测告警与系统运行保障。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第七条  重大事件由公司负责人直接指挥调度，必要时暂停相关算法服务。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第三章  事件分级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第八条  一般事件：影响范围限于个别用户或单一功能，未造成不良信息扩散或数据泄露。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第九条  较大事件：影响部分用户或多项功能，存在不良信息扩散或数据泄露风险。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第十条  重大事件：影响全体或大部分用户，已造成或极可能造成违法不良信息大规模扩散、用户个人信息泄露或其他严重后果。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第四章  处置流程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第十一条（发现与报告）通过监测告警、用户举报、日常自查等渠道发现事件；任何人员发现疑似算法安全事件应立即报告算法安全负责人。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第十二条（研判定级）算法安全负责人组织研判，确定事件等级并启动相应处置。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第十三条（应急处置）一般事件应当在 24 小时内完成处置；较大及以上事件立即对相关功能采取限流、熔断或下线措施，控制影响范围。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第十四条（信息报告）较大及以上事件按照法律法规要求及时向有关主管部门报告。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第十五条（复盘整改）事件处置完毕后形成处置报告，落实整改措施，并视情修订相关制度。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第五章  保障措施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第十六条  保持备用模型切换与功能熔断的技术能力，确保处置措施可快速执行。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第十七条  处置全过程留存证据与操作记录，以备核查。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第十八条  每年至少组织一次应急演练，检验并完善预案。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第六章  附则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第十九条  本预案由算法安全工作组负责解释和修订。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第二十条  本预案自发布之日起施行。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right"/>
      </w:pPr>
      <w:r>
        <w:rPr>
          <w:rFonts w:ascii="Times New Roman" w:hAnsi="Times New Roman" w:eastAsia="宋体"/>
          <w:b w:val="0"/>
          <w:sz w:val="24"/>
        </w:rPr>
        <w:t>江西皮蛋科技有限公司</w:t>
      </w:r>
    </w:p>
    <w:p>
      <w:pPr>
        <w:spacing w:line="360" w:lineRule="auto"/>
        <w:jc w:val="right"/>
      </w:pPr>
      <w:r>
        <w:rPr>
          <w:rFonts w:ascii="Times New Roman" w:hAnsi="Times New Roman" w:eastAsia="宋体"/>
          <w:b w:val="0"/>
          <w:sz w:val="24"/>
        </w:rPr>
        <w:t>2026年8月27日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