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2"/>
        </w:rPr>
        <w:t>江西皮蛋科技有限公司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6"/>
        </w:rPr>
        <w:t>科技伦理审查制度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第一章  总则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第一条（目的）为加强科技伦理治理，防范算法技术应用的伦理风险，促进负责任创新，制定本制度。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第二条（依据）本制度依据《关于加强科技伦理治理的意见》及算法、人工智能领域相关法律法规制定。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第三条（适用范围）本制度适用于 MOV AI 应用及配套服务算法功能的立项、开发、上线与运行全过程。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第四条（审查组织）算法安全工作组承担科技伦理审查职责，审查工作由算法安全负责人主持，必要时邀请外部专业人员参与。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第二章  审查内容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第五条（人格尊严）审查算法功能是否尊重用户人格尊严，是否存在贬损、歧视性设计或输出风险。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第六条（防沉迷防误导）审查是否存在诱导沉迷、诱导消费或误导用户的情形；AI 生成内容是否按规定进行标识，避免用户混淆。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第七条（公平性）审查是否公平对待不同用户群体，是否存在不合理差别待遇。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第八条（特殊群体保护）涉及未成年人、老年人等特殊群体的功能从严审查；本产品不面向 14 周岁以下儿童提供服务，相关功能设计应当与此保持一致。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第九条（透明与可控）审查用户是否能够知悉其正在与人工智能系统交互，是否为用户提供退出或停止相关功能的途径。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第三章  审查程序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第十条（立项审查）新算法功能立项时开展伦理初审，未通过审查的不得进入开发。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第十一条（上线前复审）功能上线前，结合算法安全自评估同步进行伦理复审。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第十二条（运行期跟踪）运行期间发现伦理风险的，及时评估处置，必要时下线相关功能，并复盘修订审查标准。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28"/>
        </w:rPr>
        <w:t>第四章  附则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第十三条  本制度由算法安全工作组负责解释和修订。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第十四条  本制度自发布之日起施行。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江西皮蛋科技有限公司</w:t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2026年8月27日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