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336" w:lineRule="auto"/>
        <w:jc w:val="center"/>
      </w:pPr>
      <w:r>
        <w:rPr>
          <w:rFonts w:ascii="宋体" w:hAnsi="宋体" w:eastAsia="宋体"/>
          <w:b/>
          <w:sz w:val="44"/>
        </w:rPr>
        <w:t>MOV 使用说明书</w:t>
      </w:r>
    </w:p>
    <w:p>
      <w:pPr>
        <w:spacing w:before="40" w:after="40" w:line="336" w:lineRule="auto"/>
        <w:jc w:val="center"/>
      </w:pPr>
      <w:r>
        <w:rPr>
          <w:rFonts w:ascii="宋体" w:hAnsi="宋体" w:eastAsia="宋体"/>
          <w:b w:val="0"/>
          <w:sz w:val="24"/>
        </w:rPr>
      </w:r>
    </w:p>
    <w:p>
      <w:pPr>
        <w:spacing w:before="40" w:after="40" w:line="336" w:lineRule="auto"/>
        <w:jc w:val="center"/>
      </w:pPr>
      <w:r>
        <w:rPr>
          <w:rFonts w:ascii="宋体" w:hAnsi="宋体" w:eastAsia="宋体"/>
          <w:b w:val="0"/>
          <w:sz w:val="24"/>
        </w:rPr>
        <w:t>软件全称：MOV</w:t>
      </w:r>
    </w:p>
    <w:p>
      <w:pPr>
        <w:spacing w:before="40" w:after="40" w:line="336" w:lineRule="auto"/>
        <w:jc w:val="center"/>
      </w:pPr>
      <w:r>
        <w:rPr>
          <w:rFonts w:ascii="宋体" w:hAnsi="宋体" w:eastAsia="宋体"/>
          <w:b w:val="0"/>
          <w:sz w:val="24"/>
        </w:rPr>
        <w:t>版本号：V1.0</w:t>
      </w:r>
    </w:p>
    <w:p>
      <w:pPr>
        <w:spacing w:before="40" w:after="40" w:line="336" w:lineRule="auto"/>
        <w:jc w:val="center"/>
      </w:pPr>
      <w:r>
        <w:rPr>
          <w:rFonts w:ascii="宋体" w:hAnsi="宋体" w:eastAsia="宋体"/>
          <w:b w:val="0"/>
          <w:sz w:val="24"/>
        </w:rPr>
        <w:t>文档类型：软件使用说明书</w:t>
      </w:r>
    </w:p>
    <w:p>
      <w:pPr>
        <w:spacing w:before="40" w:after="40" w:line="336" w:lineRule="auto"/>
        <w:jc w:val="center"/>
      </w:pPr>
      <w:r>
        <w:rPr>
          <w:rFonts w:ascii="宋体" w:hAnsi="宋体" w:eastAsia="宋体"/>
          <w:b w:val="0"/>
          <w:sz w:val="24"/>
        </w:rPr>
        <w:t>适用对象：本软件的最终用户</w:t>
      </w:r>
    </w:p>
    <w:p>
      <w:pPr>
        <w:spacing w:before="40" w:after="40" w:line="336" w:lineRule="auto"/>
        <w:jc w:val="center"/>
      </w:pPr>
      <w:r>
        <w:rPr>
          <w:rFonts w:ascii="宋体" w:hAnsi="宋体" w:eastAsia="宋体"/>
          <w:b w:val="0"/>
          <w:sz w:val="24"/>
        </w:rPr>
        <w:t>运行环境：Android 平板（Android 10 及以上），可访问互联网</w:t>
      </w:r>
    </w:p>
    <w:p>
      <w:pPr>
        <w:spacing w:before="40" w:after="40" w:line="336" w:lineRule="auto"/>
        <w:jc w:val="center"/>
      </w:pPr>
      <w:r>
        <w:rPr>
          <w:rFonts w:ascii="宋体" w:hAnsi="宋体" w:eastAsia="宋体"/>
          <w:b w:val="0"/>
          <w:sz w:val="24"/>
        </w:rPr>
        <w:t>内容范围：主界面、对话任务流、房间与文件、设置、AI 模型、账户管理、</w:t>
      </w:r>
    </w:p>
    <w:p>
      <w:pPr>
        <w:spacing w:before="40" w:after="40" w:line="336" w:lineRule="auto"/>
        <w:jc w:val="center"/>
      </w:pPr>
      <w:r>
        <w:rPr>
          <w:rFonts w:ascii="宋体" w:hAnsi="宋体" w:eastAsia="宋体"/>
          <w:b w:val="0"/>
          <w:sz w:val="24"/>
        </w:rPr>
        <w:t>身份认证、特约商户进件、MCP 市场、保险柜、快捷场景、权限、设备协作、系统管理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一、软件概述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MOV（V1.0）是一款运行在 Android 平板上的多模型 AI 协作工作台。用户在对话界面用一句话下达任务，软件自动拆解计划、调用本机与云端能力执行，并把结果（文件、数据、界面状态）交付回对话流。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软件主要功能包括：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1. 对话任务流：用自然语言下达任务，AI 拆解执行计划并逐步执行，产出文件直达房间；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2. 项目房间：每个任务/项目一个房间，消息与产物以事件流持久保存，随时回看不丢失；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3. AI 模型管理：支持多家云端大模型接入，自定义默认模型，按房间分配不同模型协作；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4. MCP 市场：工具能力包的浏览、选购与安装管理，分为「本地」（已接入）与「市场」（货架）两栏；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5. 账户管理：身份认证（个人认证、商家认证）、商户收款配置、我的能力（职业工种）管理；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6. 特约商户进件：面向服务商场景，商家资料在线填写并提交微信支付审核，进度可查；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7. 保险柜：重要凭证与文件加密保管，本机密钥保护；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8. 快捷场景：火车票查询、音乐、追剧等生活场景的一句话直达；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9. 设备协作：多台 MOV 设备之间配对协作，互相派发任务；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10. 系统管理：内嵌 Linux 环境、内置智能体、模型服务、诊断与重置等系统级能力。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基本操作方式：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1. 下达任务：在主界面底部输入框输入一句话，点击发送按钮；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2. 确认计划：软件拆解出执行计划后，请核对计划内容，确认后开始执行；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3. 查看结果：任务完成后，结果以交付卡形式出现在对话流中，产物文件可直接打开；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4. 管理功能：点击左上角「≡」打开抽屉，底部齿轮进入设置，各功能按分组进入二级页面操作。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数据说明：对话记录、房间文件、个人资料均保存在本机存储不上传云端；涉及云端的传输仅发生在执行用户任务时。</w:t>
      </w:r>
    </w:p>
    <w:p>
      <w:pPr>
        <w:spacing w:before="40" w:after="40" w:line="276" w:lineRule="auto"/>
      </w:pPr>
      <w:r>
        <w:rPr>
          <w:rFonts w:ascii="宋体" w:hAnsi="宋体" w:eastAsia="宋体"/>
          <w:b w:val="0"/>
          <w:sz w:val="24"/>
        </w:rPr>
        <w:t>运行环境：Android 10 及以上版本的平板设备；网络环境：可访问互联网的 Wi-Fi 或移动网络。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二、主界面（启动后）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软件启动后进入主界面（对话首页）。顶部为交付卡片区（展示最近完成的任务结果），中部为情境卡片区（根据个人使用情境给出可直达的建议），底部为输入区。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在底部「说一句话…」输入框输入任务，点击右侧发送按钮，即可创建任务并进入执行流程。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点击左上角「≡」打开抽屉（房间与文件列表）；点击右上角「＋」新建房间。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图：主界面（启动后）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三、对话任务流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在输入框下达任务后，软件拆解出「执行计划」卡片并逐步执行；执行过程中的技能调用（如 file.write 文件写入）以技能卡形式实时展示进度与结果摘要。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任务完成后生成「交付卡」：正文为结果说明，「产物」区列出产出文件，点击「打开」即可查看文件内容，点击「详情」可查看完整执行过程。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如图所示：用户下达「创建一个文件 acc-note.txt」，软件经执行计划 → 文件写入 → 交付卡片三步完成，全程无需离开对话界面。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图：对话任务流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四、房间与产物文件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点击主界面左上角「≡」打开抽屉。抽屉内按时间列出历史房间与产物文件：点击房间名进入对应房间继续协作；点击文件条目可预览产物内容。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房间是任务的容器：同一房间内的对话、计划、产物相互关联，退出后再次进入内容完整保留。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ra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图：房间与产物文件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五、设置总览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在主界面抽屉底部点击「设置」（齿轮）进入设置页。设置页分组列出全部功能入口：外观、AI 模型、账户管理、信息管理、MCP 市场、检查更新、意见反馈，以及「高级」区（理解方式、设备协作、快捷场景、权限与功能、服务连接、系统）。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点击任意一行进入对应的二级页面，点击左上角「‹」返回上一级。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图：设置总览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六、AI 模型管理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AI 模型。页面列出已接入的模型，可添加新模型（选择厂商后仅需填写 API Key）、设置默认模型、测试连通性与删除。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默认模型用于对话任务的主要执行；不同房间可绑定不同模型，实现多模型分工协作。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图：AI 模型管理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七、账户管理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账户管理。页面汇集账号相关入口：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「身份认证」：个人认证与商家认证的统一入口；「商户收款」：微信支付商户资料配置；「我的能力」：职业工种的开通与接单状态管理；「账户类型」展示当前账号形态（本地用户，数据仅存本机）。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cc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图：账户管理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八、身份认证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账户管理 › 身份认证。页面分为两区：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「个人认证」区：手机号验证（证明你是你）；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「商家认证」区：微信支付特约商户进件，分为「① 提交进件资料 → ② 微信支付审核 → ③ 签约开通」三步，每步右侧实时显示状态；点击「新建/继续填写申请单」进入资料填写向导。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verif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图：身份认证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九、特约商户进件向导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进入路径：身份认证 › 新建申请单。向导按步骤引导填写：主体类型 → 超级管理员 → 主体与法人证件 → 经营资料 → 结算规则 → 银行账户，每一步仅显示与所选主体类型相关的字段；证照照片可现场拍摄或从相册选择。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顶部配置卡用于填写服务商后端地址与访问令牌（首次使用时配置一次）。填写完毕后在预览页确认（敏感信息掩码显示），点击提交即报送微信支付审核，结果可在身份认证页查询。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pply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图：特约商户进件向导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十、MCP 市场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MCP 市场 › 「市场」栏。市场提供工具能力包：顶部分类胶囊（推荐/数据库/网络/家居/效率/开发）可筛选，「热销榜」横向展示热门包，「全部接入包」逐行列出名称、简介、质检标记与价格。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点击商品卡进入详情页，可查看能力说明书与质检报告，点击「立即购买」按支付指引进件支付与自动安装。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b-market-t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图：MCP 市场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十一、MCP 市场·本地栏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MCP 市场 › 「本地」栏。本地栏管理已接入的 MCP 服务：已安装的能力包与手动添加的服务 server 都列于此，可测试连通、启用/停用、排序与删除。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点击「+ 手动添加 server」可按地址与令牌接入自己的 MCP 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ark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图：MCP 市场·本地栏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十二、保险柜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信息管理 › 保险柜。保险柜用于加密保管重要内容（密钥、凭证、重要文本），内容经本机硬件级密钥加密后存储，列表仅显示名称与存入时间，查看内容需通过系统锁屏验证。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va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图：保险柜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十三、快捷场景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高级 › 快捷场景。快捷场景把高频生活服务做成一句话直达：火车票查询、音乐播放、追剧续看等。在对话中直接说出需求（如「查明天去北京的火车票」）即可触发对应场景。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ce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图：快捷场景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十四、权限与功能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高级 › 权限与功能。页面列出软件用到的系统权限（相机、定位、存储、麦克风等）及对应的功能用途，并可直接跳转系统设置进行授权管理。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e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图：权限与功能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十五、设备协作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高级 › 设备协作。两台 MOV 设备可通过配对码互相配对，配对后可互相查询状态、派发任务与协作处理。页面显示本机配对码与已配对设备列表。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e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图：设备协作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十六、高级与系统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高级。「高级」区汇集理解方式（AI 理解或快速直达）、设备协作、快捷场景、权限与功能、服务连接与系统入口。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d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图：高级与系统</w:t>
      </w:r>
    </w:p>
    <w:p>
      <w:r>
        <w:br w:type="page"/>
      </w:r>
    </w:p>
    <w:p>
      <w:pPr>
        <w:spacing w:before="40" w:after="40" w:line="336" w:lineRule="auto"/>
      </w:pPr>
      <w:r>
        <w:rPr>
          <w:rFonts w:ascii="宋体" w:hAnsi="宋体" w:eastAsia="宋体"/>
          <w:b/>
          <w:sz w:val="32"/>
        </w:rPr>
        <w:t>十七、系统管理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进入路径：设置 › 高级 › 系统。系统页提供系统级能力的状态与操作：内嵌 Linux 环境（安装/状态）、内置智能体服务、模型服务、SSH、诊断日志导出与系统重置（需两步确认）。</w:t>
      </w:r>
    </w:p>
    <w:p>
      <w:pPr>
        <w:spacing w:before="40" w:after="40" w:line="336" w:lineRule="auto"/>
      </w:pPr>
      <w:r>
        <w:rPr>
          <w:rFonts w:ascii="宋体" w:hAnsi="宋体" w:eastAsia="宋体"/>
          <w:b w:val="0"/>
          <w:sz w:val="24"/>
        </w:rPr>
        <w:t>「诊断导出」可导出运行日志用于问题反馈；「重置」会清空本机数据，操作前需二次确认。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9532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yste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图：系统管理</w:t>
      </w:r>
    </w:p>
    <w:sectPr w:rsidR="00FC693F" w:rsidRPr="0006063C" w:rsidSect="00034616">
      <w:head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/>
      </w:pBdr>
    </w:pPr>
    <w:r>
      <w:rPr>
        <w:rFonts w:ascii="宋体" w:hAnsi="宋体" w:eastAsia="宋体"/>
        <w:sz w:val="18"/>
      </w:rPr>
      <w:t>MOV V1.0</w:t>
      <w:tab/>
    </w:r>
    <w:r>
      <w:rPr>
        <w:sz w:val="18"/>
      </w:rPr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