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21B2E">
      <w:pPr>
        <w:pStyle w:val="4"/>
        <w:keepNext w:val="0"/>
        <w:keepLines w:val="0"/>
        <w:pageBreakBefore w:val="0"/>
        <w:widowControl/>
        <w:suppressLineNumbers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The Digital Erosion of Empathy: Simone Weil's Attention and James Baldwin's Witness in the Age of Infinite Scrolling</w:t>
      </w:r>
    </w:p>
    <w:p w14:paraId="559C8E7D">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In the contemporary digital landscape, a haunting image of a warzone often appears immediately adjacent to a viral comedy sketch. This phenomenon, frequently diagnosed as digital empathy fatigue (Hidayat, 2024), reveals a profound paradox: while we are exposed to more global suffering than any previous generation, our capacity for genuine attention is at an all-time low. As Robertson, Shariff, and Van Bavel (2024) argue, the internet disrupts evolved moral responses through its scale and psychological distance, diluting active compassion into ineffective collective action. To diagnose this crisis, this paper turns to Simone Weil and James Baldwin. In her essay</w:t>
      </w:r>
      <w:r>
        <w:rPr>
          <w:rFonts w:hint="eastAsia" w:ascii="Times New Roman" w:hAnsi="Times New Roman" w:cs="Times New Roman"/>
          <w:sz w:val="24"/>
          <w:szCs w:val="24"/>
          <w:lang w:val="en-US" w:eastAsia="zh-CN"/>
        </w:rPr>
        <w:t xml:space="preserve"> </w:t>
      </w:r>
      <w:r>
        <w:rPr>
          <w:rFonts w:hint="eastAsia" w:ascii="Times New Roman" w:hAnsi="Times New Roman" w:cs="Times New Roman"/>
          <w:i/>
          <w:iCs/>
          <w:sz w:val="24"/>
          <w:szCs w:val="24"/>
          <w:lang w:val="en-US" w:eastAsia="zh-CN"/>
        </w:rPr>
        <w:t>Reflections on the Right Use of School Studies with a View to the Love of God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Weil defines attention as a rigorous ethical and spiritual orientation. Meanwhile, Baldwin,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in </w:t>
      </w:r>
      <w:r>
        <w:rPr>
          <w:rFonts w:hint="default" w:ascii="Times New Roman" w:hAnsi="Times New Roman" w:cs="Times New Roman"/>
          <w:i/>
          <w:iCs/>
          <w:sz w:val="24"/>
          <w:szCs w:val="24"/>
        </w:rPr>
        <w:t>The Fire Next Time</w:t>
      </w:r>
      <w:r>
        <w:rPr>
          <w:rFonts w:hint="default" w:ascii="Times New Roman" w:hAnsi="Times New Roman" w:cs="Times New Roman"/>
          <w:sz w:val="24"/>
          <w:szCs w:val="24"/>
        </w:rPr>
        <w:t xml:space="preserve"> and </w:t>
      </w:r>
      <w:r>
        <w:rPr>
          <w:rFonts w:hint="default" w:ascii="Times New Roman" w:hAnsi="Times New Roman" w:cs="Times New Roman"/>
          <w:i/>
          <w:iCs/>
          <w:sz w:val="24"/>
          <w:szCs w:val="24"/>
        </w:rPr>
        <w:t>The Price of the Ticket</w:t>
      </w:r>
      <w:r>
        <w:rPr>
          <w:rFonts w:hint="default" w:ascii="Times New Roman" w:hAnsi="Times New Roman" w:cs="Times New Roman"/>
          <w:sz w:val="24"/>
          <w:szCs w:val="24"/>
        </w:rPr>
        <w:t>, articulates an ethics of</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bearing witness that links moral perception to responsibility. This essay argues that the infinite scroll of short-form video platforms systematically dismantles Weil's conception of attention—the self-emptying wait for truth—and contravenes Baldwin's witness, producing a novel form of structured moral numbness (Irfan Muzni et al., 2025).</w:t>
      </w:r>
    </w:p>
    <w:p w14:paraId="1EA41D9D">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2" w:firstLineChars="200"/>
        <w:jc w:val="left"/>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t xml:space="preserve"> Simone Weil's Three Movements of Attention</w:t>
      </w:r>
    </w:p>
    <w:p w14:paraId="2926F72F">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rPr>
        <w:t>Weil's redefinition of attention shifts it from a cognitive faculty to the very substance of ethical love.</w:t>
      </w:r>
      <w:r>
        <w:rPr>
          <w:rFonts w:hint="eastAsia" w:ascii="Times New Roman" w:hAnsi="Times New Roman" w:cs="Times New Roman"/>
          <w:sz w:val="24"/>
          <w:szCs w:val="24"/>
          <w:lang w:val="en-US" w:eastAsia="zh-CN"/>
        </w:rPr>
        <w:t xml:space="preserve"> This redefinition unfolds through three movements.</w:t>
      </w:r>
    </w:p>
    <w:p w14:paraId="1C730992">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First, Weil distinguishes true attention from muscular effort. She observes that students often confuse focus with physical tension—contracting brows or stiffening muscles (Weil, 1951, p. 109). This exertion is entirely barren, representing the will trying to force a result rather than the soul opening itself to truth. In the digital age, we often mistake the muscular activity of constant browsing for being informed; yet, as Weil warns, such effort leads to "concentrating on nothing" (Weil, 1951, p. 110).</w:t>
      </w:r>
    </w:p>
    <w:p w14:paraId="307A69E1">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Second, Weil defines attention as a negative effort and a state of waiting. She writes: "Attention consists of suspending our thought, leaving it detached, empty, and ready to be penetrated by the object" (Weil, 1951, p. 111). This discipline of the "not-yet" refuses to immediately categorize or consume the object, allowing it to reveal its naked truth. While Gillouard (2024) emphasizes that this cultivation is central to ethical engagement, the contemporary attention economy systematically undermines these essential conditions.</w:t>
      </w:r>
    </w:p>
    <w:p w14:paraId="45BFCB1A">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Finally, Weil bridges cognition and ethics: "The capacity to give one's attention to a sufferer is a very rare and difficult thing; it is almost a miracle" (Weil, 1951, p. 114). The ultimate expression of this is the ability to ask:</w:t>
      </w:r>
      <w:r>
        <w:rPr>
          <w:rFonts w:hint="eastAsia" w:ascii="Times New Roman" w:hAnsi="Times New Roman" w:cs="Times New Roman"/>
          <w:sz w:val="24"/>
          <w:szCs w:val="24"/>
          <w:lang w:val="en-US" w:eastAsia="zh-CN"/>
        </w:rPr>
        <w:t xml:space="preserve"> What are you going through? </w:t>
      </w:r>
      <w:r>
        <w:rPr>
          <w:rFonts w:hint="default" w:ascii="Times New Roman" w:hAnsi="Times New Roman" w:cs="Times New Roman"/>
          <w:sz w:val="24"/>
          <w:szCs w:val="24"/>
        </w:rPr>
        <w:t>For Weil, this question requires the listener to become a vessel for the other's reality.</w:t>
      </w:r>
    </w:p>
    <w:p w14:paraId="07E5F186">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2" w:firstLineChars="200"/>
        <w:jc w:val="left"/>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t xml:space="preserve"> James Baldwin and the Ethics of Witness</w:t>
      </w:r>
    </w:p>
    <w:p w14:paraId="0E5CCC90">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While Weil focuses on the internal mechanism of attention, Baldwin provides the external ethical imperative through bearing witness. In</w:t>
      </w:r>
      <w:r>
        <w:rPr>
          <w:rFonts w:hint="eastAsia" w:ascii="Times New Roman" w:hAnsi="Times New Roman" w:cs="Times New Roman"/>
          <w:sz w:val="24"/>
          <w:szCs w:val="24"/>
          <w:lang w:val="en-US" w:eastAsia="zh-CN"/>
        </w:rPr>
        <w:t xml:space="preserve"> </w:t>
      </w:r>
      <w:r>
        <w:rPr>
          <w:rFonts w:hint="default" w:ascii="Times New Roman" w:hAnsi="Times New Roman" w:cs="Times New Roman"/>
          <w:i/>
          <w:iCs/>
          <w:sz w:val="24"/>
          <w:szCs w:val="24"/>
        </w:rPr>
        <w:t>The Fire Next Time</w:t>
      </w:r>
      <w:r>
        <w:rPr>
          <w:rFonts w:hint="default" w:ascii="Times New Roman" w:hAnsi="Times New Roman" w:cs="Times New Roman"/>
          <w:sz w:val="24"/>
          <w:szCs w:val="24"/>
        </w:rPr>
        <w:t>, Baldwin identifies a specific moral blindness he calls innocence: "It is the innocence which constitutes the crime" (Baldwin, 1998, p. 292). This is not ignorance, but a proactive refusal to acknowledge the reality of suffering because that reality would demand a change in one's own life.</w:t>
      </w:r>
    </w:p>
    <w:p w14:paraId="6A591525">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Central to this ethics is Baldwin's distinction between the observer and the witness. An observer looks from a safe, detached distance; a witness is forced to acknowledge the truth and pay the price for that knowledge (Baldwin, 2021). Ince (2023) argues that Baldwin's witness emphasizes moral responsibility, offering a model for engaging marginalized voices on their own terms. Thus, Baldwin and Weil are complementary: if Weil tells us how to empty ourselves, Baldwin tells us what we are refusing to see and why it matters.</w:t>
      </w:r>
    </w:p>
    <w:p w14:paraId="045F9350">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firstLine="482" w:firstLineChars="200"/>
        <w:jc w:val="lef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Algorithmic Disruption of Attention and Witness</w:t>
      </w:r>
    </w:p>
    <w:p w14:paraId="046F6FE3">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infinite scroll mechanism embedded in short-form video platforms operates in direct tension with both Weil's attention and Baldwin's witness.</w:t>
      </w:r>
    </w:p>
    <w:p w14:paraId="70199FC5">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First, the algorithmic auto-delivery mechanism of short-form video directly contradicts Weil's demand for negative waiting. For Weil, authentic attention means emptying the mind, suspending judgment, and waiting for the object to reveal its truth rather than actively seeking or consuming it. Yet the infinite scroll algorithm ensures that no interval for reflection remains: before a user can process the weight of suffering, the next clip intrudes. This continuous replacement eliminates the negative effort Weil identifies as central to ethical attention, replacing disciplined waiting with passive, algorithmically-directed consumption.</w:t>
      </w:r>
    </w:p>
    <w:p w14:paraId="0372FE07">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Second, the speed and fragmentation of digital content foster a superficial engagement with suffering that evades the moral cost Baldwin attaches to witnessing. Baldwin insists that bearing truth requires accepting responsibility and enduring the emotional weight of knowledge; genuine witness cannot be cost-free. Short-form video, however, allows users to glance at suffering without dwelling, to feel a momentary twinge of pity before moving to entertainment. This simulated engagement preserves moral innocence under the appearance of informed concern. Some might counter that even brief exposure to suffering gradually builds long-term moral sensitivity; yet the empirical record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Fanti et al., 2009</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Mullin &amp; Linz, 1995</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points in the opposite direction, with repeated uninterrupted exposure to distant suffering shown to reduce empathic accuracy and weaken prosocial motivation. The format does not punish avoidance; it rewards movement.</w:t>
      </w:r>
    </w:p>
    <w:p w14:paraId="2AAC125D">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Third, the habitual swipe embodies the hollow muscular effort Weil rejects. Repeated swiping becomes automatic muscle memory—not a decision to look away, but the absence of any decision. Where Weil calls for suspending thought to receive truth, the habitual swipe actively prevents such suspension from occurring.</w:t>
      </w:r>
    </w:p>
    <w:p w14:paraId="5A761884">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 common defense of social media holds that expanded exposure to global injustice cultivates moral awareness; this view, however, mistakes the quantity of information for the quality of attention, overlooking how algorithmic delivery actively reshapes the conditions under which moral perception is possible. Even platforms that aim to raise awareness often operate within the same logic of continuous stimulation, preventing the pause and receptivity that ethical attention requires.</w:t>
      </w:r>
    </w:p>
    <w:p w14:paraId="21904EDA">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2" w:firstLineChars="200"/>
        <w:jc w:val="left"/>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The Paradox of Digital Moral Numbness</w:t>
      </w:r>
    </w:p>
    <w:p w14:paraId="677628A1">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synthesis of Weil and Baldwin reveals that these platforms do more than distract; they fundamentally reconfigure our ethical architecture. Weil</w:t>
      </w:r>
      <w:r>
        <w:rPr>
          <w:rFonts w:hint="eastAsia" w:ascii="Times New Roman" w:hAnsi="Times New Roman" w:cs="Times New Roman"/>
          <w:sz w:val="24"/>
          <w:szCs w:val="24"/>
          <w:lang w:val="en-US" w:eastAsia="zh-CN"/>
        </w:rPr>
        <w:t xml:space="preserve"> (1957)</w:t>
      </w:r>
      <w:r>
        <w:rPr>
          <w:rFonts w:hint="default" w:ascii="Times New Roman" w:hAnsi="Times New Roman" w:cs="Times New Roman"/>
          <w:sz w:val="24"/>
          <w:szCs w:val="24"/>
        </w:rPr>
        <w:t xml:space="preserve"> notes that the soul has a violent repugnance for true attention, leading us to flee from the demands of others. The scroll is the technological fulfillment of this desire to look away. Qin, Omar, and Musetti (2022) demonstrate that TikTok induces flow states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that systematically override the negative effort required for attention.</w:t>
      </w:r>
    </w:p>
    <w:p w14:paraId="6C7978B5">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From Baldwin's perspective, this produces a false witness. When suffering is interspersed with advertisements, it is reduced to spectacle. The digital scroll makes us hyper-conscious of images while rendering us unconscious of humanity. This represents a paradoxical condition: hypervisibility without moral consequence, saturation without understanding. Irfan Muzni et al. (2025) term this the normalization of violence, where repetitive exposure leads to decreased empathy. The ethical question "How shall I live?" is thus replaced by the consumerist "What is next?"</w:t>
      </w:r>
    </w:p>
    <w:p w14:paraId="65F1DD59">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2" w:firstLineChars="200"/>
        <w:jc w:val="left"/>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lang w:val="en-US" w:eastAsia="zh-CN"/>
        </w:rPr>
        <w:t xml:space="preserve"> Toward an Ecology of Ethical Attention</w:t>
      </w:r>
    </w:p>
    <w:p w14:paraId="2B59A343">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This diagnosis raises a pressing question: how useful are Weil and Baldwin beyond describing what has been lost? At their strongest, they provide an indispensable normative vocabulary. Weil's negative effort offers a direct antidote to the logic of preemptive consumption embedded in infinite scroll, and her insistence that asking "What are you going through?" constitutes the core of ethical life gives us a concrete criterion by which to judge digital practices. Together, Weil and Baldwin reframe attention not as a neutral cognitive resource but as a moral capacity whose erosion is a form of spiritual harm.</w:t>
      </w:r>
    </w:p>
    <w:p w14:paraId="00DD2FC4">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This does not mean their thought can be applied without difficulty. Weil's attention presupposes an ecology of stillness, and Baldwin's witness assumes a community where truth-telling carries consequences—conditions systematically eliminated by algorithmic environments. Their primary value, then, lies less in direct applicability than in their capacity to name what is at stake and orient us toward structural intervention. Rather than invoking Weil and Baldwin as direct solutions, we should treat them as diagnostic tools that reveal the depth of the problem and point toward the need for redesigning platforms (</w:t>
      </w:r>
      <w:r>
        <w:rPr>
          <w:rFonts w:hint="default" w:ascii="Times New Roman" w:hAnsi="Times New Roman"/>
          <w:b w:val="0"/>
          <w:bCs w:val="0"/>
          <w:kern w:val="0"/>
          <w:sz w:val="24"/>
          <w:szCs w:val="24"/>
          <w:lang w:val="en-US" w:eastAsia="zh-CN"/>
        </w:rPr>
        <w:t>de la Torre</w:t>
      </w:r>
      <w:r>
        <w:rPr>
          <w:rFonts w:hint="default" w:ascii="Times New Roman" w:hAnsi="Times New Roman" w:cs="Times New Roman"/>
          <w:sz w:val="24"/>
          <w:szCs w:val="24"/>
        </w:rPr>
        <w:t xml:space="preserve"> et al., 202</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rPr>
        <w:t>) and rebuilding contexts for sustained moral engagement (Roberts, 2021). The destruction of attention is, ultimately, the destruction of love.</w:t>
      </w:r>
    </w:p>
    <w:p w14:paraId="03C1B69C">
      <w:pPr>
        <w:pStyle w:val="4"/>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Infinite scrolling replaces deep attention with rapid consumption and genuine witness with simulated awareness. Through Weil and Baldwin, this paper shows that digital culture erodes the very conditions of moral perception. While digital platforms are not inherently unethical, their dominant design actively discourages the patience and vulnerability that ethical life requires. To resist is to reclaim attention: to pause, to wait, and to ask the other, "What are you going through?" In an age of endless scrolling, the most radical act is simply to look—and refuse to swipe away.</w:t>
      </w:r>
    </w:p>
    <w:p w14:paraId="1904AD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US" w:eastAsia="zh-CN"/>
        </w:rPr>
      </w:pPr>
    </w:p>
    <w:p w14:paraId="42A9CACE">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10214248">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74545866">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1B7953F7">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1DCBA631">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270DF745">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6EB68CD3">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4C157FAD">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7E4B4741">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58EC2B78">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6FC9E907">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6FAD925F">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4552D601">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31589924">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p>
    <w:p w14:paraId="539E276E">
      <w:pPr>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References</w:t>
      </w:r>
    </w:p>
    <w:p w14:paraId="7ADC33E6">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Baldwin, J. (1998). The fire next time. </w:t>
      </w:r>
      <w:r>
        <w:rPr>
          <w:rFonts w:hint="default" w:ascii="Times New Roman" w:hAnsi="Times New Roman"/>
          <w:b w:val="0"/>
          <w:bCs w:val="0"/>
          <w:i/>
          <w:iCs/>
          <w:kern w:val="0"/>
          <w:sz w:val="24"/>
          <w:szCs w:val="24"/>
          <w:lang w:val="en-US" w:eastAsia="zh-CN"/>
        </w:rPr>
        <w:t>Collected Essays, 2</w:t>
      </w:r>
      <w:r>
        <w:rPr>
          <w:rFonts w:hint="default" w:ascii="Times New Roman" w:hAnsi="Times New Roman"/>
          <w:b w:val="0"/>
          <w:bCs w:val="0"/>
          <w:kern w:val="0"/>
          <w:sz w:val="24"/>
          <w:szCs w:val="24"/>
          <w:lang w:val="en-US" w:eastAsia="zh-CN"/>
        </w:rPr>
        <w:t>, 291-348.</w:t>
      </w:r>
    </w:p>
    <w:p w14:paraId="1E164450">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Baldwin, J. (2021).</w:t>
      </w:r>
      <w:r>
        <w:rPr>
          <w:rFonts w:hint="default" w:ascii="Times New Roman" w:hAnsi="Times New Roman"/>
          <w:b w:val="0"/>
          <w:bCs w:val="0"/>
          <w:i/>
          <w:iCs/>
          <w:kern w:val="0"/>
          <w:sz w:val="24"/>
          <w:szCs w:val="24"/>
          <w:lang w:val="en-US" w:eastAsia="zh-CN"/>
        </w:rPr>
        <w:t xml:space="preserve"> The price of the ticket: Collected nonfiction: 1948–1985</w:t>
      </w:r>
      <w:r>
        <w:rPr>
          <w:rFonts w:hint="default" w:ascii="Times New Roman" w:hAnsi="Times New Roman"/>
          <w:b w:val="0"/>
          <w:bCs w:val="0"/>
          <w:kern w:val="0"/>
          <w:sz w:val="24"/>
          <w:szCs w:val="24"/>
          <w:lang w:val="en-US" w:eastAsia="zh-CN"/>
        </w:rPr>
        <w:t>. Beacon Press.</w:t>
      </w:r>
    </w:p>
    <w:p w14:paraId="6C0C5823">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Berger, M. (2012). 'Thy Brother's Keeper': Witnessing as a Moral Presence in Group Analysis and Beyond. </w:t>
      </w:r>
      <w:r>
        <w:rPr>
          <w:rFonts w:hint="default" w:ascii="Times New Roman" w:hAnsi="Times New Roman"/>
          <w:b w:val="0"/>
          <w:bCs w:val="0"/>
          <w:i/>
          <w:iCs/>
          <w:kern w:val="0"/>
          <w:sz w:val="24"/>
          <w:szCs w:val="24"/>
          <w:lang w:val="en-US" w:eastAsia="zh-CN"/>
        </w:rPr>
        <w:t>Group Analysis, 45</w:t>
      </w:r>
      <w:r>
        <w:rPr>
          <w:rFonts w:hint="default" w:ascii="Times New Roman" w:hAnsi="Times New Roman"/>
          <w:b w:val="0"/>
          <w:bCs w:val="0"/>
          <w:kern w:val="0"/>
          <w:sz w:val="24"/>
          <w:szCs w:val="24"/>
          <w:lang w:val="en-US" w:eastAsia="zh-CN"/>
        </w:rPr>
        <w:t>(4), 459–471. https://doi.org/10.1177/0533316412462210</w:t>
      </w:r>
    </w:p>
    <w:p w14:paraId="4DE433F9">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de la Torre, P. G., Pérez-Verdugo, M., &amp; Barandiaran, X. E. (2026). Attention is all they need: Cognitive science and the (techno) political economy of attention in humans and machines. AI &amp; SOCIETY, 41(1), 5-21.</w:t>
      </w:r>
    </w:p>
    <w:p w14:paraId="67126746">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Fanti, K. A., Vanman, E., Henrich, C. C., &amp; Avraamides, M. N. (2009). Desensitization to media violence over a short period of time. </w:t>
      </w:r>
      <w:r>
        <w:rPr>
          <w:rFonts w:hint="default" w:ascii="Times New Roman" w:hAnsi="Times New Roman"/>
          <w:b w:val="0"/>
          <w:bCs w:val="0"/>
          <w:i/>
          <w:iCs/>
          <w:kern w:val="0"/>
          <w:sz w:val="24"/>
          <w:szCs w:val="24"/>
          <w:lang w:val="en-US" w:eastAsia="zh-CN"/>
        </w:rPr>
        <w:t>Aggressive Behavior: Official Journal of the International Society for Research on Aggression, 35</w:t>
      </w:r>
      <w:r>
        <w:rPr>
          <w:rFonts w:hint="default" w:ascii="Times New Roman" w:hAnsi="Times New Roman"/>
          <w:b w:val="0"/>
          <w:bCs w:val="0"/>
          <w:kern w:val="0"/>
          <w:sz w:val="24"/>
          <w:szCs w:val="24"/>
          <w:lang w:val="en-US" w:eastAsia="zh-CN"/>
        </w:rPr>
        <w:t>(2), 179-187.</w:t>
      </w:r>
    </w:p>
    <w:p w14:paraId="212BF71A">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Gillouard, P. (2024). Travail et attention dans la philosophie de Simone Weil. </w:t>
      </w:r>
      <w:r>
        <w:rPr>
          <w:rFonts w:hint="default" w:ascii="Times New Roman" w:hAnsi="Times New Roman"/>
          <w:b w:val="0"/>
          <w:bCs w:val="0"/>
          <w:i/>
          <w:iCs/>
          <w:kern w:val="0"/>
          <w:sz w:val="24"/>
          <w:szCs w:val="24"/>
          <w:lang w:val="en-US" w:eastAsia="zh-CN"/>
        </w:rPr>
        <w:t>Revue de théologie et de philosophie, 156</w:t>
      </w:r>
      <w:r>
        <w:rPr>
          <w:rFonts w:hint="default" w:ascii="Times New Roman" w:hAnsi="Times New Roman"/>
          <w:b w:val="0"/>
          <w:bCs w:val="0"/>
          <w:kern w:val="0"/>
          <w:sz w:val="24"/>
          <w:szCs w:val="24"/>
          <w:lang w:val="en-US" w:eastAsia="zh-CN"/>
        </w:rPr>
        <w:t>(3), 299-314.</w:t>
      </w:r>
    </w:p>
    <w:p w14:paraId="703860E1">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8"/>
          <w:szCs w:val="28"/>
          <w:lang w:val="en-US" w:eastAsia="zh-CN"/>
        </w:rPr>
      </w:pPr>
      <w:r>
        <w:rPr>
          <w:rFonts w:hint="default" w:ascii="Times New Roman" w:hAnsi="Times New Roman"/>
          <w:b w:val="0"/>
          <w:bCs w:val="0"/>
          <w:kern w:val="0"/>
          <w:sz w:val="24"/>
          <w:szCs w:val="24"/>
          <w:lang w:val="en-US" w:eastAsia="zh-CN"/>
        </w:rPr>
        <w:t xml:space="preserve">Hidayat, R. (2024). Empathy in the Digital Age: Exploring Disinhibition, Phubbing, and Emotional Erosion in Online Communication. </w:t>
      </w:r>
      <w:r>
        <w:rPr>
          <w:rFonts w:hint="default" w:ascii="Times New Roman" w:hAnsi="Times New Roman"/>
          <w:b w:val="0"/>
          <w:bCs w:val="0"/>
          <w:i/>
          <w:iCs/>
          <w:kern w:val="0"/>
          <w:sz w:val="24"/>
          <w:szCs w:val="24"/>
          <w:lang w:val="en-US" w:eastAsia="zh-CN"/>
        </w:rPr>
        <w:t>Communica : Journal of Communication.</w:t>
      </w:r>
      <w:r>
        <w:rPr>
          <w:rFonts w:hint="eastAsia" w:ascii="Times New Roman" w:hAnsi="Times New Roman"/>
          <w:b w:val="0"/>
          <w:bCs w:val="0"/>
          <w:i/>
          <w:iCs/>
          <w:kern w:val="0"/>
          <w:sz w:val="24"/>
          <w:szCs w:val="24"/>
          <w:lang w:val="en-US" w:eastAsia="zh-CN"/>
        </w:rPr>
        <w:t xml:space="preserve"> </w:t>
      </w:r>
      <w:r>
        <w:rPr>
          <w:rFonts w:hint="default" w:ascii="Times New Roman" w:hAnsi="Times New Roman"/>
          <w:b w:val="0"/>
          <w:bCs w:val="0"/>
          <w:kern w:val="0"/>
          <w:sz w:val="24"/>
          <w:szCs w:val="24"/>
          <w:lang w:val="en-US" w:eastAsia="zh-CN"/>
        </w:rPr>
        <w:t>https://www.semanticscholar.org/paper/f275c33c639c302e9160b7c2a102e36a78459d15</w:t>
      </w:r>
    </w:p>
    <w:p w14:paraId="009F27A2">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Ince, J. I. (2023). Between the witness and the observer: what ethnography can learn from James Baldwin. </w:t>
      </w:r>
      <w:r>
        <w:rPr>
          <w:rFonts w:hint="default" w:ascii="Times New Roman" w:hAnsi="Times New Roman"/>
          <w:b w:val="0"/>
          <w:bCs w:val="0"/>
          <w:i/>
          <w:iCs/>
          <w:kern w:val="0"/>
          <w:sz w:val="24"/>
          <w:szCs w:val="24"/>
          <w:lang w:val="en-US" w:eastAsia="zh-CN"/>
        </w:rPr>
        <w:t>Frontiers in Sociology, 8</w:t>
      </w:r>
      <w:r>
        <w:rPr>
          <w:rFonts w:hint="default" w:ascii="Times New Roman" w:hAnsi="Times New Roman"/>
          <w:b w:val="0"/>
          <w:bCs w:val="0"/>
          <w:kern w:val="0"/>
          <w:sz w:val="24"/>
          <w:szCs w:val="24"/>
          <w:lang w:val="en-US" w:eastAsia="zh-CN"/>
        </w:rPr>
        <w:t>, 1158520.</w:t>
      </w:r>
    </w:p>
    <w:p w14:paraId="12D75498">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Irfan Muzni, A., Latipun, &amp; Salis Yuniardi, M. (2025). Moral desensitization in the digital age: A synthesis of theory, empirical evidence, and implications (a narrative review). In </w:t>
      </w:r>
      <w:r>
        <w:rPr>
          <w:rFonts w:hint="default" w:ascii="Times New Roman" w:hAnsi="Times New Roman"/>
          <w:b w:val="0"/>
          <w:bCs w:val="0"/>
          <w:i/>
          <w:iCs/>
          <w:kern w:val="0"/>
          <w:sz w:val="24"/>
          <w:szCs w:val="24"/>
          <w:lang w:val="en-US" w:eastAsia="zh-CN"/>
        </w:rPr>
        <w:t>SHS Web of Conferences</w:t>
      </w:r>
      <w:r>
        <w:rPr>
          <w:rFonts w:hint="default" w:ascii="Times New Roman" w:hAnsi="Times New Roman"/>
          <w:b w:val="0"/>
          <w:bCs w:val="0"/>
          <w:kern w:val="0"/>
          <w:sz w:val="24"/>
          <w:szCs w:val="24"/>
          <w:lang w:val="en-US" w:eastAsia="zh-CN"/>
        </w:rPr>
        <w:t xml:space="preserve"> (Vol. 224, p. 08006). EDP Sciences.</w:t>
      </w:r>
    </w:p>
    <w:p w14:paraId="71601976">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Mullin, C. R., &amp; Linz, D. (1995). Desensitization and resensitization to violence against women: Effects of exposure to sexually violent films on judgments of domestic violence victims. </w:t>
      </w:r>
      <w:r>
        <w:rPr>
          <w:rFonts w:hint="default" w:ascii="Times New Roman" w:hAnsi="Times New Roman"/>
          <w:b w:val="0"/>
          <w:bCs w:val="0"/>
          <w:i/>
          <w:iCs/>
          <w:kern w:val="0"/>
          <w:sz w:val="24"/>
          <w:szCs w:val="24"/>
          <w:lang w:val="en-US" w:eastAsia="zh-CN"/>
        </w:rPr>
        <w:t>Journal of personality and social psychology, 69</w:t>
      </w:r>
      <w:r>
        <w:rPr>
          <w:rFonts w:hint="default" w:ascii="Times New Roman" w:hAnsi="Times New Roman"/>
          <w:b w:val="0"/>
          <w:bCs w:val="0"/>
          <w:kern w:val="0"/>
          <w:sz w:val="24"/>
          <w:szCs w:val="24"/>
          <w:lang w:val="en-US" w:eastAsia="zh-CN"/>
        </w:rPr>
        <w:t>(3), 449.</w:t>
      </w:r>
    </w:p>
    <w:p w14:paraId="3F65B57C">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Qin, Y., Omar, B., &amp; Musetti, A. (2022). The Addiction Behavior of Short-Form Video App TikTok: The Information Quality and System Quality Perspective. </w:t>
      </w:r>
      <w:r>
        <w:rPr>
          <w:rFonts w:hint="default" w:ascii="Times New Roman" w:hAnsi="Times New Roman"/>
          <w:b w:val="0"/>
          <w:bCs w:val="0"/>
          <w:i/>
          <w:iCs/>
          <w:kern w:val="0"/>
          <w:sz w:val="24"/>
          <w:szCs w:val="24"/>
          <w:lang w:val="en-US" w:eastAsia="zh-CN"/>
        </w:rPr>
        <w:t>Frontiers in Psychology, 13</w:t>
      </w:r>
      <w:r>
        <w:rPr>
          <w:rFonts w:hint="default" w:ascii="Times New Roman" w:hAnsi="Times New Roman"/>
          <w:b w:val="0"/>
          <w:bCs w:val="0"/>
          <w:kern w:val="0"/>
          <w:sz w:val="24"/>
          <w:szCs w:val="24"/>
          <w:lang w:val="en-US" w:eastAsia="zh-CN"/>
        </w:rPr>
        <w:t>, 932805. https://doi.org/10.3389/fpsyg.2022.932805</w:t>
      </w:r>
    </w:p>
    <w:p w14:paraId="4F77E78B">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Roberts, J. (2021). Empathy Cultivation through (Pro)Social Media: A Counter to Compassion Fatigue. </w:t>
      </w:r>
      <w:r>
        <w:rPr>
          <w:rFonts w:hint="default" w:ascii="Times New Roman" w:hAnsi="Times New Roman"/>
          <w:b w:val="0"/>
          <w:bCs w:val="0"/>
          <w:i/>
          <w:iCs/>
          <w:kern w:val="0"/>
          <w:sz w:val="24"/>
          <w:szCs w:val="24"/>
          <w:lang w:val="en-US" w:eastAsia="zh-CN"/>
        </w:rPr>
        <w:t>Humanities, 2</w:t>
      </w:r>
      <w:r>
        <w:rPr>
          <w:rFonts w:hint="default" w:ascii="Times New Roman" w:hAnsi="Times New Roman"/>
          <w:b w:val="0"/>
          <w:bCs w:val="0"/>
          <w:kern w:val="0"/>
          <w:sz w:val="24"/>
          <w:szCs w:val="24"/>
          <w:lang w:val="en-US" w:eastAsia="zh-CN"/>
        </w:rPr>
        <w:t>(4), 47. https://www.mdpi.com/2673-5172/2/4/47</w:t>
      </w:r>
    </w:p>
    <w:p w14:paraId="455E6C35">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Robertson, C. E., Shariff, A. F., &amp; Van Bavel, J. J. (2024). Morality in the Anthropocene: The Perversion of Compassion and Punishment in the Online World. </w:t>
      </w:r>
      <w:r>
        <w:rPr>
          <w:rFonts w:hint="default" w:ascii="Times New Roman" w:hAnsi="Times New Roman"/>
          <w:b w:val="0"/>
          <w:bCs w:val="0"/>
          <w:i/>
          <w:iCs/>
          <w:kern w:val="0"/>
          <w:sz w:val="24"/>
          <w:szCs w:val="24"/>
          <w:lang w:val="en-US" w:eastAsia="zh-CN"/>
        </w:rPr>
        <w:t>PNAS Nexus, 3</w:t>
      </w:r>
      <w:r>
        <w:rPr>
          <w:rFonts w:hint="default" w:ascii="Times New Roman" w:hAnsi="Times New Roman"/>
          <w:b w:val="0"/>
          <w:bCs w:val="0"/>
          <w:kern w:val="0"/>
          <w:sz w:val="24"/>
          <w:szCs w:val="24"/>
          <w:lang w:val="en-US" w:eastAsia="zh-CN"/>
        </w:rPr>
        <w:t>(9), p</w:t>
      </w:r>
      <w:r>
        <w:rPr>
          <w:rFonts w:hint="eastAsia" w:ascii="Times New Roman" w:hAnsi="Times New Roman"/>
          <w:b w:val="0"/>
          <w:bCs w:val="0"/>
          <w:kern w:val="0"/>
          <w:sz w:val="24"/>
          <w:szCs w:val="24"/>
          <w:lang w:val="en-US" w:eastAsia="zh-CN"/>
        </w:rPr>
        <w:t>age</w:t>
      </w:r>
      <w:r>
        <w:rPr>
          <w:rFonts w:hint="default" w:ascii="Times New Roman" w:hAnsi="Times New Roman"/>
          <w:b w:val="0"/>
          <w:bCs w:val="0"/>
          <w:kern w:val="0"/>
          <w:sz w:val="24"/>
          <w:szCs w:val="24"/>
          <w:lang w:val="en-US" w:eastAsia="zh-CN"/>
        </w:rPr>
        <w:t>193. https://doi.org/10.1093/pnasnexus/pgae193</w:t>
      </w:r>
    </w:p>
    <w:p w14:paraId="0BA78D4B">
      <w:pPr>
        <w:keepNext w:val="0"/>
        <w:keepLines w:val="0"/>
        <w:pageBreakBefore w:val="0"/>
        <w:widowControl/>
        <w:kinsoku/>
        <w:wordWrap/>
        <w:overflowPunct/>
        <w:topLinePunct w:val="0"/>
        <w:autoSpaceDE/>
        <w:autoSpaceDN/>
        <w:bidi w:val="0"/>
        <w:adjustRightInd/>
        <w:snapToGrid/>
        <w:spacing w:beforeAutospacing="0" w:afterAutospacing="0"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Weil, S. (195</w:t>
      </w:r>
      <w:r>
        <w:rPr>
          <w:rFonts w:hint="eastAsia" w:ascii="Times New Roman" w:hAnsi="Times New Roman"/>
          <w:b w:val="0"/>
          <w:bCs w:val="0"/>
          <w:kern w:val="0"/>
          <w:sz w:val="24"/>
          <w:szCs w:val="24"/>
          <w:lang w:val="en-US" w:eastAsia="zh-CN"/>
        </w:rPr>
        <w:t>1</w:t>
      </w:r>
      <w:r>
        <w:rPr>
          <w:rFonts w:hint="default" w:ascii="Times New Roman" w:hAnsi="Times New Roman"/>
          <w:b w:val="0"/>
          <w:bCs w:val="0"/>
          <w:kern w:val="0"/>
          <w:sz w:val="24"/>
          <w:szCs w:val="24"/>
          <w:lang w:val="en-US" w:eastAsia="zh-CN"/>
        </w:rPr>
        <w:t xml:space="preserve">). Reflections on the Right Use of School Studies with a View to the Love of God. In </w:t>
      </w:r>
      <w:r>
        <w:rPr>
          <w:rFonts w:hint="default" w:ascii="Times New Roman" w:hAnsi="Times New Roman"/>
          <w:b w:val="0"/>
          <w:bCs w:val="0"/>
          <w:i/>
          <w:iCs/>
          <w:kern w:val="0"/>
          <w:sz w:val="24"/>
          <w:szCs w:val="24"/>
          <w:lang w:val="en-US" w:eastAsia="zh-CN"/>
        </w:rPr>
        <w:t>Waiting for God</w:t>
      </w:r>
      <w:r>
        <w:rPr>
          <w:rFonts w:hint="default" w:ascii="Times New Roman" w:hAnsi="Times New Roman"/>
          <w:b w:val="0"/>
          <w:bCs w:val="0"/>
          <w:kern w:val="0"/>
          <w:sz w:val="24"/>
          <w:szCs w:val="24"/>
          <w:lang w:val="en-US" w:eastAsia="zh-CN"/>
        </w:rPr>
        <w:t xml:space="preserve"> (pp. 105–116). G. P. Putnam's Sons.</w:t>
      </w:r>
    </w:p>
    <w:p w14:paraId="1E670F5B">
      <w:pPr>
        <w:keepNext w:val="0"/>
        <w:keepLines w:val="0"/>
        <w:pageBreakBefore w:val="0"/>
        <w:widowControl/>
        <w:kinsoku/>
        <w:wordWrap/>
        <w:overflowPunct/>
        <w:topLinePunct w:val="0"/>
        <w:autoSpaceDE/>
        <w:autoSpaceDN/>
        <w:bidi w:val="0"/>
        <w:adjustRightInd/>
        <w:snapToGrid/>
        <w:spacing w:beforeAutospacing="0" w:afterAutospacing="0" w:line="480" w:lineRule="auto"/>
        <w:jc w:val="left"/>
        <w:textAlignment w:val="auto"/>
        <w:rPr>
          <w:rFonts w:hint="default" w:ascii="Times New Roman" w:hAnsi="Times New Roman"/>
          <w:b w:val="0"/>
          <w:bCs w:val="0"/>
          <w:kern w:val="0"/>
          <w:sz w:val="24"/>
          <w:szCs w:val="24"/>
          <w:lang w:val="en-US" w:eastAsia="zh-CN"/>
        </w:rPr>
      </w:pPr>
    </w:p>
    <w:bookmarkEnd w:id="0"/>
    <w:p w14:paraId="43F14AEF">
      <w:pPr>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AI Transparency Statement</w:t>
      </w:r>
    </w:p>
    <w:p w14:paraId="15DAB02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In this paper, I used Gemini to </w:t>
      </w:r>
      <w:r>
        <w:rPr>
          <w:rFonts w:hint="eastAsia" w:ascii="Times New Roman" w:hAnsi="Times New Roman" w:cs="Times New Roman"/>
          <w:sz w:val="24"/>
          <w:szCs w:val="24"/>
          <w:lang w:val="en-US" w:eastAsia="zh-CN"/>
        </w:rPr>
        <w:t xml:space="preserve">brainstorm </w:t>
      </w:r>
      <w:r>
        <w:rPr>
          <w:rFonts w:hint="default" w:ascii="Times New Roman" w:hAnsi="Times New Roman" w:cs="Times New Roman"/>
          <w:sz w:val="24"/>
          <w:szCs w:val="24"/>
          <w:lang w:val="en-US" w:eastAsia="zh-CN"/>
        </w:rPr>
        <w:t xml:space="preserve">refine the academic tone, improve the transition between scholarly citations and original arguments, and APA formatting guidelines. Here is a stable link to the conversation(s): https://gemini.google.com/app/f3b9cd580d4f2471. </w:t>
      </w:r>
    </w:p>
    <w:p w14:paraId="0C3C2062">
      <w:pPr>
        <w:keepNext w:val="0"/>
        <w:keepLines w:val="0"/>
        <w:pageBreakBefore w:val="0"/>
        <w:widowControl/>
        <w:kinsoku/>
        <w:wordWrap/>
        <w:overflowPunct/>
        <w:topLinePunct w:val="0"/>
        <w:autoSpaceDE/>
        <w:autoSpaceDN/>
        <w:bidi w:val="0"/>
        <w:adjustRightInd/>
        <w:snapToGrid/>
        <w:spacing w:beforeAutospacing="0" w:afterAutospacing="0" w:line="480" w:lineRule="auto"/>
        <w:jc w:val="left"/>
        <w:textAlignment w:val="auto"/>
        <w:rPr>
          <w:rFonts w:hint="default" w:ascii="Times New Roman" w:hAnsi="Times New Roman"/>
          <w:b w:val="0"/>
          <w:bCs w:val="0"/>
          <w:kern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582C4A"/>
    <w:multiLevelType w:val="singleLevel"/>
    <w:tmpl w:val="CD582C4A"/>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0822ED"/>
    <w:rsid w:val="21874EFF"/>
    <w:rsid w:val="2DE8668E"/>
    <w:rsid w:val="39C421B5"/>
    <w:rsid w:val="39CF5FE7"/>
    <w:rsid w:val="3C316F8E"/>
    <w:rsid w:val="423600B6"/>
    <w:rsid w:val="5C0822ED"/>
    <w:rsid w:val="67C6388D"/>
    <w:rsid w:val="72F5632D"/>
    <w:rsid w:val="7A3A0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1838</Words>
  <Characters>10729</Characters>
  <Lines>0</Lines>
  <Paragraphs>0</Paragraphs>
  <TotalTime>34</TotalTime>
  <ScaleCrop>false</ScaleCrop>
  <LinksUpToDate>false</LinksUpToDate>
  <CharactersWithSpaces>12528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2026-05-10T05:47:00Z</dcterms:created>
  <dc:creator>荏苒任冬去</dc:creator>
  <cp:lastModifiedBy>荏苒任冬去</cp:lastModifiedBy>
  <dcterms:modified xsi:type="dcterms:W3CDTF">2026-05-14T13:42:18Z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60428EA362DB46208A7C740D2D85F259_13</vt:lpwstr>
  </property>
  <property fmtid="{D5CDD505-2E9C-101B-9397-08002B2CF9AE}" pid="4" name="KSOTemplateDocerSaveRecord">
    <vt:lpwstr>eyJoZGlkIjoiMjE1NGQ3YTc2MDJkZWIyNGZmNjVmOTg2MGFjZDFjMGIiLCJ1c2VySWQiOiI2ODg5OTM4ODcifQ==</vt:lpwstr>
  </property>
</Properties>
</file>