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C88A0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GFH1000 In Dialogue with Humanity </w:t>
      </w:r>
    </w:p>
    <w:p w14:paraId="424B8D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Yu Shuwen</w:t>
      </w:r>
      <w:r>
        <w:rPr>
          <w:rFonts w:hint="default" w:ascii="Times New Roman" w:hAnsi="Times New Roman" w:eastAsia="宋体" w:cs="Times New Roman"/>
          <w:sz w:val="24"/>
          <w:szCs w:val="24"/>
        </w:rPr>
        <w:t xml:space="preserve"> (1</w:t>
      </w:r>
      <w:r>
        <w:rPr>
          <w:rFonts w:hint="eastAsia" w:ascii="Times New Roman" w:hAnsi="Times New Roman" w:eastAsia="宋体" w:cs="Times New Roman"/>
          <w:sz w:val="24"/>
          <w:szCs w:val="24"/>
          <w:lang w:val="en-US" w:eastAsia="zh-CN"/>
        </w:rPr>
        <w:t>23020317</w:t>
      </w:r>
      <w:r>
        <w:rPr>
          <w:rFonts w:hint="default" w:ascii="Times New Roman" w:hAnsi="Times New Roman" w:eastAsia="宋体" w:cs="Times New Roman"/>
          <w:sz w:val="24"/>
          <w:szCs w:val="24"/>
        </w:rPr>
        <w:t xml:space="preserve">) </w:t>
      </w:r>
    </w:p>
    <w:p w14:paraId="6799038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xml:space="preserve">Dr DENG Yangzhou </w:t>
      </w:r>
    </w:p>
    <w:p w14:paraId="602A6C8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Reflective Journal #</w:t>
      </w:r>
      <w:r>
        <w:rPr>
          <w:rFonts w:hint="eastAsia" w:ascii="Times New Roman" w:hAnsi="Times New Roman" w:eastAsia="宋体" w:cs="Times New Roman"/>
          <w:sz w:val="24"/>
          <w:szCs w:val="24"/>
          <w:lang w:val="en-US" w:eastAsia="zh-CN"/>
        </w:rPr>
        <w:t>10</w:t>
      </w:r>
      <w:r>
        <w:rPr>
          <w:rFonts w:hint="default" w:ascii="Times New Roman" w:hAnsi="Times New Roman" w:eastAsia="宋体" w:cs="Times New Roman"/>
          <w:sz w:val="24"/>
          <w:szCs w:val="24"/>
        </w:rPr>
        <w:t xml:space="preserve"> (</w:t>
      </w:r>
      <w:r>
        <w:rPr>
          <w:rFonts w:hint="eastAsia" w:ascii="Times New Roman" w:hAnsi="Times New Roman" w:eastAsia="宋体" w:cs="Times New Roman"/>
          <w:i/>
          <w:iCs/>
          <w:sz w:val="24"/>
          <w:szCs w:val="24"/>
          <w:lang w:val="en-US" w:eastAsia="zh-CN"/>
        </w:rPr>
        <w:t>Social Contract</w:t>
      </w:r>
      <w:r>
        <w:rPr>
          <w:rFonts w:hint="default" w:ascii="Times New Roman" w:hAnsi="Times New Roman" w:eastAsia="宋体" w:cs="Times New Roman"/>
          <w:sz w:val="24"/>
          <w:szCs w:val="24"/>
        </w:rPr>
        <w:t xml:space="preserve">) </w:t>
      </w:r>
    </w:p>
    <w:p w14:paraId="04F7B5D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24</w:t>
      </w:r>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November</w:t>
      </w:r>
      <w:r>
        <w:rPr>
          <w:rFonts w:hint="default" w:ascii="Times New Roman" w:hAnsi="Times New Roman" w:eastAsia="宋体" w:cs="Times New Roman"/>
          <w:sz w:val="24"/>
          <w:szCs w:val="24"/>
        </w:rPr>
        <w:t xml:space="preserve"> 20</w:t>
      </w:r>
      <w:r>
        <w:rPr>
          <w:rFonts w:hint="eastAsia" w:ascii="Times New Roman" w:hAnsi="Times New Roman" w:eastAsia="宋体" w:cs="Times New Roman"/>
          <w:sz w:val="24"/>
          <w:szCs w:val="24"/>
          <w:lang w:val="en-US" w:eastAsia="zh-CN"/>
        </w:rPr>
        <w:t>24</w:t>
      </w:r>
    </w:p>
    <w:p w14:paraId="2F0B53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p>
    <w:p w14:paraId="0E5E95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3）</w:t>
      </w:r>
      <w:r>
        <w:rPr>
          <w:rFonts w:hint="default" w:ascii="Times New Roman" w:hAnsi="Times New Roman" w:eastAsia="宋体" w:cs="Times New Roman"/>
          <w:sz w:val="24"/>
          <w:szCs w:val="24"/>
        </w:rPr>
        <w:t xml:space="preserve"> What is the role of a legislator? (SC, I, VII) Why does Rousseau propose that there should be a legislator?  </w:t>
      </w:r>
    </w:p>
    <w:p w14:paraId="7747ECC0">
      <w:pPr>
        <w:keepNext w:val="0"/>
        <w:keepLines w:val="0"/>
        <w:pageBreakBefore w:val="0"/>
        <w:widowControl w:val="0"/>
        <w:kinsoku/>
        <w:wordWrap/>
        <w:overflowPunct/>
        <w:topLinePunct w:val="0"/>
        <w:autoSpaceDE/>
        <w:autoSpaceDN/>
        <w:bidi w:val="0"/>
        <w:adjustRightInd/>
        <w:snapToGrid/>
        <w:spacing w:line="360" w:lineRule="auto"/>
        <w:ind w:firstLine="48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立法者是一</w:t>
      </w:r>
      <w:r>
        <w:rPr>
          <w:rFonts w:hint="eastAsia" w:ascii="Times New Roman" w:hAnsi="Times New Roman" w:eastAsia="宋体" w:cs="Times New Roman"/>
          <w:sz w:val="24"/>
          <w:szCs w:val="24"/>
          <w:lang w:val="en-US" w:eastAsia="zh-CN"/>
        </w:rPr>
        <w:t>种</w:t>
      </w:r>
      <w:r>
        <w:rPr>
          <w:rFonts w:hint="default" w:ascii="Times New Roman" w:hAnsi="Times New Roman" w:eastAsia="宋体" w:cs="Times New Roman"/>
          <w:sz w:val="24"/>
          <w:szCs w:val="24"/>
          <w:lang w:val="en-US" w:eastAsia="zh-CN"/>
        </w:rPr>
        <w:t>拥有最高智慧，能透视人性却与人性无关，其幸福与民众的幸福相去甚远，却愿意关怀民众幸福，能够抽掉人本身固有的力量，不使用强力也不用说理便可“倒果为因”，具有说服人权威与独特、超然职能的存在。</w:t>
      </w:r>
    </w:p>
    <w:p w14:paraId="74644F8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卢梭指出，社会公约赋予政治体生存与生命，而立法赋予其行动与意志，而立法者的存在正是出于对一个能够编订真正符合公意的法律的智慧独立存在的需要。正因公民未必能“永远都看得出什么是幸福”，而指导公意的判断也“并不永远都是明智的”（II，VI，</w:t>
      </w:r>
      <w:r>
        <w:rPr>
          <w:rFonts w:hint="eastAsia" w:ascii="Times New Roman" w:hAnsi="Times New Roman" w:cs="Times New Roman"/>
          <w:sz w:val="24"/>
          <w:szCs w:val="24"/>
          <w:lang w:val="en-US" w:eastAsia="zh-CN"/>
        </w:rPr>
        <w:t>71-</w:t>
      </w:r>
      <w:r>
        <w:rPr>
          <w:rFonts w:hint="default" w:ascii="Times New Roman" w:hAnsi="Times New Roman" w:cs="Times New Roman"/>
          <w:sz w:val="24"/>
          <w:szCs w:val="24"/>
          <w:lang w:val="en-US" w:eastAsia="zh-CN"/>
        </w:rPr>
        <w:t>73），这才需要一个拥有极高智慧的出类拔萃的存在，能够敢于创制，有把握能引导人民，改善人的素质。立法者构建政治共同体的实质是人性的改变，即由自然人向公民身份的过渡；而那些“超乎人们的能力之外的”观念与目标往往难以为俗人所理解。因此比起借助宗教神明的那种虚假的威望去约束人民，更好的立法者式的做法则是倒果为因，利用风向、习俗和舆论这种能“铭刻在公民们的心里”的习惯的力量（II，XII，</w:t>
      </w:r>
      <w:r>
        <w:rPr>
          <w:rFonts w:hint="eastAsia" w:ascii="Times New Roman" w:hAnsi="Times New Roman" w:cs="Times New Roman"/>
          <w:sz w:val="24"/>
          <w:szCs w:val="24"/>
          <w:lang w:val="en-US" w:eastAsia="zh-CN"/>
        </w:rPr>
        <w:t>25</w:t>
      </w:r>
      <w:r>
        <w:rPr>
          <w:rFonts w:hint="default" w:ascii="Times New Roman" w:hAnsi="Times New Roman" w:cs="Times New Roman"/>
          <w:sz w:val="24"/>
          <w:szCs w:val="24"/>
          <w:lang w:val="en-US" w:eastAsia="zh-CN"/>
        </w:rPr>
        <w:t>），使“本来应该是制度的产物的社会精神转而凌驾于制度本身之上”（II，</w:t>
      </w:r>
      <w:r>
        <w:rPr>
          <w:rFonts w:hint="eastAsia" w:ascii="Times New Roman" w:hAnsi="Times New Roman" w:cs="Times New Roman"/>
          <w:sz w:val="24"/>
          <w:szCs w:val="24"/>
          <w:lang w:val="en-US" w:eastAsia="zh-CN"/>
        </w:rPr>
        <w:t>VII，63-64</w:t>
      </w:r>
      <w:r>
        <w:rPr>
          <w:rFonts w:hint="default" w:ascii="Times New Roman" w:hAnsi="Times New Roman" w:cs="Times New Roman"/>
          <w:sz w:val="24"/>
          <w:szCs w:val="24"/>
          <w:lang w:val="en-US" w:eastAsia="zh-CN"/>
        </w:rPr>
        <w:t>）。</w:t>
      </w:r>
    </w:p>
    <w:p w14:paraId="4AF1DB4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然而正因立法工作庄严而神圣的性质，编订法律的必须是超然而独特的存在。立法者便是这样一种代行的指导者。他们并不具有权力，只有主权者即人民才具有设立法律的权力。而人民自己，就算有这种意愿，也不能放弃自己这种不可转移的权利；因为根据社会契约，“唯有公意才能约束个人”</w:t>
      </w:r>
      <w:r>
        <w:rPr>
          <w:rFonts w:hint="eastAsia" w:ascii="Times New Roman" w:hAnsi="Times New Roman" w:cs="Times New Roman"/>
          <w:sz w:val="24"/>
          <w:szCs w:val="24"/>
          <w:lang w:val="en-US" w:eastAsia="zh-CN"/>
        </w:rPr>
        <w:t>（II，VII，50）</w:t>
      </w:r>
      <w:r>
        <w:rPr>
          <w:rFonts w:hint="default" w:ascii="Times New Roman" w:hAnsi="Times New Roman" w:cs="Times New Roman"/>
          <w:sz w:val="24"/>
          <w:szCs w:val="24"/>
          <w:lang w:val="en-US" w:eastAsia="zh-CN"/>
        </w:rPr>
        <w:t>，编订的法律最终还是作为一种契约需要得到全体人民的同意。立法者所作的，只是尽量编订出符合公意的法律条文。而为了防止任何可能因为私心导致的不公正被固定下来而“有害于他自己的事业的神圣性”（II，VII，</w:t>
      </w:r>
      <w:r>
        <w:rPr>
          <w:rFonts w:hint="eastAsia" w:ascii="Times New Roman" w:hAnsi="Times New Roman" w:cs="Times New Roman"/>
          <w:sz w:val="24"/>
          <w:szCs w:val="24"/>
          <w:lang w:val="en-US" w:eastAsia="zh-CN"/>
        </w:rPr>
        <w:t>36</w:t>
      </w:r>
      <w:r>
        <w:rPr>
          <w:rFonts w:hint="default" w:ascii="Times New Roman" w:hAnsi="Times New Roman" w:cs="Times New Roman"/>
          <w:sz w:val="24"/>
          <w:szCs w:val="24"/>
          <w:lang w:val="en-US" w:eastAsia="zh-CN"/>
        </w:rPr>
        <w:t>），立法者的职务又必须是“决不是行政，也绝不是主权”的（II，VII，</w:t>
      </w:r>
      <w:r>
        <w:rPr>
          <w:rFonts w:hint="eastAsia" w:ascii="Times New Roman" w:hAnsi="Times New Roman" w:cs="Times New Roman"/>
          <w:sz w:val="24"/>
          <w:szCs w:val="24"/>
          <w:lang w:val="en-US" w:eastAsia="zh-CN"/>
        </w:rPr>
        <w:t>31</w:t>
      </w:r>
      <w:r>
        <w:rPr>
          <w:rFonts w:hint="default" w:ascii="Times New Roman" w:hAnsi="Times New Roman" w:cs="Times New Roman"/>
          <w:sz w:val="24"/>
          <w:szCs w:val="24"/>
          <w:lang w:val="en-US" w:eastAsia="zh-CN"/>
        </w:rPr>
        <w:t>）。卢梭所构想的能化解立法工作中“两种不相容的东西”（II，VII，</w:t>
      </w:r>
      <w:r>
        <w:rPr>
          <w:rFonts w:hint="eastAsia" w:ascii="Times New Roman" w:hAnsi="Times New Roman" w:cs="Times New Roman"/>
          <w:sz w:val="24"/>
          <w:szCs w:val="24"/>
          <w:lang w:val="en-US" w:eastAsia="zh-CN"/>
        </w:rPr>
        <w:t>53</w:t>
      </w:r>
      <w:r>
        <w:rPr>
          <w:rFonts w:hint="default" w:ascii="Times New Roman" w:hAnsi="Times New Roman" w:cs="Times New Roman"/>
          <w:sz w:val="24"/>
          <w:szCs w:val="24"/>
          <w:lang w:val="en-US" w:eastAsia="zh-CN"/>
        </w:rPr>
        <w:t>），使人民以立法者的理性为指引，“在社会体中达成理性与意志的结合”（II，VI，</w:t>
      </w:r>
      <w:r>
        <w:rPr>
          <w:rFonts w:hint="eastAsia" w:ascii="Times New Roman" w:hAnsi="Times New Roman" w:cs="Times New Roman"/>
          <w:sz w:val="24"/>
          <w:szCs w:val="24"/>
          <w:lang w:val="en-US" w:eastAsia="zh-CN"/>
        </w:rPr>
        <w:t>80</w:t>
      </w:r>
      <w:r>
        <w:rPr>
          <w:rFonts w:hint="default" w:ascii="Times New Roman" w:hAnsi="Times New Roman" w:cs="Times New Roman"/>
          <w:sz w:val="24"/>
          <w:szCs w:val="24"/>
          <w:lang w:val="en-US" w:eastAsia="zh-CN"/>
        </w:rPr>
        <w:t>），正需要立法者才能够完成。</w:t>
      </w:r>
    </w:p>
    <w:p w14:paraId="5FE07CFB">
      <w:pPr>
        <w:keepNext w:val="0"/>
        <w:keepLines w:val="0"/>
        <w:pageBreakBefore w:val="0"/>
        <w:widowControl w:val="0"/>
        <w:kinsoku/>
        <w:wordWrap/>
        <w:overflowPunct/>
        <w:topLinePunct w:val="0"/>
        <w:autoSpaceDE/>
        <w:autoSpaceDN/>
        <w:bidi w:val="0"/>
        <w:adjustRightInd/>
        <w:snapToGrid/>
        <w:spacing w:line="360" w:lineRule="auto"/>
        <w:jc w:val="right"/>
        <w:textAlignment w:val="auto"/>
        <w:rPr>
          <w:rFonts w:hint="default" w:ascii="Times New Roman" w:hAnsi="Times New Roman" w:cs="Times New Roman"/>
          <w:sz w:val="24"/>
          <w:szCs w:val="24"/>
          <w:lang w:val="en-US" w:eastAsia="zh-CN"/>
        </w:rPr>
      </w:pPr>
      <w:r>
        <w:rPr>
          <w:rFonts w:hint="eastAsia" w:ascii="Times New Roman" w:hAnsi="Times New Roman" w:cs="Times New Roman"/>
          <w:sz w:val="24"/>
          <w:szCs w:val="24"/>
          <w:lang w:val="en-US" w:eastAsia="zh-CN"/>
        </w:rPr>
        <w:t>（797字）</w:t>
      </w:r>
      <w:bookmarkStart w:id="0" w:name="_GoBack"/>
      <w:bookmarkEnd w:id="0"/>
    </w:p>
    <w:p w14:paraId="35EA9E6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Works Cited</w:t>
      </w:r>
    </w:p>
    <w:p w14:paraId="54F38A9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卢梭</w:t>
      </w:r>
      <w:r>
        <w:rPr>
          <w:rFonts w:hint="eastAsia" w:ascii="Times New Roman" w:hAnsi="Times New Roman" w:cs="Times New Roman"/>
          <w:sz w:val="24"/>
          <w:szCs w:val="24"/>
          <w:lang w:val="en-US" w:eastAsia="zh-CN"/>
        </w:rPr>
        <w:t xml:space="preserve">. (2006). </w:t>
      </w:r>
      <w:r>
        <w:rPr>
          <w:rFonts w:hint="default" w:ascii="Times New Roman" w:hAnsi="Times New Roman" w:cs="Times New Roman"/>
          <w:sz w:val="24"/>
          <w:szCs w:val="24"/>
          <w:lang w:val="en-US" w:eastAsia="zh-CN"/>
        </w:rPr>
        <w:t>社会契约论</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何北武</w:t>
      </w:r>
      <w:r>
        <w:rPr>
          <w:rFonts w:hint="eastAsia" w:ascii="Times New Roman" w:hAnsi="Times New Roman" w:cs="Times New Roman"/>
          <w:sz w:val="24"/>
          <w:szCs w:val="24"/>
          <w:lang w:val="en-US" w:eastAsia="zh-CN"/>
        </w:rPr>
        <w:t xml:space="preserve">, </w:t>
      </w:r>
      <w:r>
        <w:rPr>
          <w:rFonts w:hint="default" w:ascii="Times New Roman" w:hAnsi="Times New Roman" w:cs="Times New Roman"/>
          <w:sz w:val="24"/>
          <w:szCs w:val="24"/>
          <w:lang w:val="en-US" w:eastAsia="zh-CN"/>
        </w:rPr>
        <w:t>译</w:t>
      </w:r>
      <w:r>
        <w:rPr>
          <w:rFonts w:hint="eastAsia" w:ascii="Times New Roman" w:hAnsi="Times New Roman" w:cs="Times New Roman"/>
          <w:sz w:val="24"/>
          <w:szCs w:val="24"/>
          <w:lang w:val="en-US" w:eastAsia="zh-CN"/>
        </w:rPr>
        <w:t>). 北京：</w:t>
      </w:r>
      <w:r>
        <w:rPr>
          <w:rFonts w:hint="default" w:ascii="Times New Roman" w:hAnsi="Times New Roman" w:cs="Times New Roman"/>
          <w:sz w:val="24"/>
          <w:szCs w:val="24"/>
          <w:lang w:val="en-US" w:eastAsia="zh-CN"/>
        </w:rPr>
        <w:t>商务印书馆</w:t>
      </w:r>
      <w:r>
        <w:rPr>
          <w:rFonts w:hint="eastAsia" w:ascii="Times New Roman" w:hAnsi="Times New Roman" w:cs="Times New Roman"/>
          <w:sz w:val="24"/>
          <w:szCs w:val="24"/>
          <w:lang w:val="en-US" w:eastAsia="zh-CN"/>
        </w:rPr>
        <w:t>.</w:t>
      </w:r>
    </w:p>
    <w:p w14:paraId="4F0E4DF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张国旺. (2014). 公意、公民宗教与民情——卢梭论立法者的科学与技艺. 政治思想史 (04), 65-85+199.</w:t>
      </w:r>
    </w:p>
    <w:p w14:paraId="40D372D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p>
    <w:p w14:paraId="14EF0CD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lang w:val="en-US" w:eastAsia="zh-CN"/>
        </w:rPr>
      </w:pP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E1NGQ3YTc2MDJkZWIyNGZmNjVmOTg2MGFjZDFjMGIifQ=="/>
    <w:docVar w:name="KSO_WPS_MARK_KEY" w:val="3b70b3b0-a54b-4b00-98f3-30487797b574"/>
  </w:docVars>
  <w:rsids>
    <w:rsidRoot w:val="00000000"/>
    <w:rsid w:val="0BD93B15"/>
    <w:rsid w:val="302D4AB7"/>
    <w:rsid w:val="380338A1"/>
    <w:rsid w:val="6E505F87"/>
    <w:rsid w:val="7D5C6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note text"/>
    <w:basedOn w:val="1"/>
    <w:uiPriority w:val="0"/>
    <w:pPr>
      <w:snapToGrid w:val="0"/>
      <w:jc w:val="left"/>
    </w:pPr>
    <w:rPr>
      <w:sz w:val="18"/>
    </w:rPr>
  </w:style>
  <w:style w:type="character" w:styleId="5">
    <w:name w:val="footnote reference"/>
    <w:basedOn w:val="4"/>
    <w:uiPriority w:val="0"/>
    <w:rPr>
      <w:vertAlign w:val="superscript"/>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867</Words>
  <Characters>1105</Characters>
  <Lines>0</Lines>
  <Paragraphs>0</Paragraphs>
  <TotalTime>8</TotalTime>
  <ScaleCrop>false</ScaleCrop>
  <LinksUpToDate>false</LinksUpToDate>
  <CharactersWithSpaces>1144</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2024-09-19T16:17:00Z</dcterms:created>
  <dc:creator>25895</dc:creator>
  <cp:lastModifiedBy>荏苒任冬去</cp:lastModifiedBy>
  <dcterms:modified xsi:type="dcterms:W3CDTF">2024-11-24T12:40:46Z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12AFF306A46F453C891DAE22886E894E_13</vt:lpwstr>
  </property>
</Properties>
</file>