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D9A93">
      <w:pPr>
        <w:spacing w:line="48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米勒-尤里实验：柏拉图与亚里士多德视角的形而上学</w:t>
      </w:r>
      <w:r>
        <w:rPr>
          <w:rFonts w:hint="eastAsia" w:ascii="Times New Roman" w:hAnsi="Times New Roman" w:eastAsia="宋体" w:cs="Times New Roman"/>
          <w:sz w:val="24"/>
          <w:szCs w:val="24"/>
          <w:lang w:val="en-US" w:eastAsia="zh-CN"/>
        </w:rPr>
        <w:t>假设</w:t>
      </w:r>
      <w:r>
        <w:rPr>
          <w:rFonts w:hint="default" w:ascii="Times New Roman" w:hAnsi="Times New Roman" w:eastAsia="宋体" w:cs="Times New Roman"/>
          <w:sz w:val="24"/>
          <w:szCs w:val="24"/>
          <w:lang w:val="en-US" w:eastAsia="zh-CN"/>
        </w:rPr>
        <w:t>与方法论分析</w:t>
      </w:r>
    </w:p>
    <w:p w14:paraId="7A4C9C7F">
      <w:pPr>
        <w:spacing w:line="48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米勒-尤里实验是20世纪50年代由斯坦利·米勒和哈罗德·尤里设计的一项经典实验，旨在模拟早期地球的环境，探索生命起源的化学过程。实验装置包括一个封闭的玻璃系统，其中注入甲烷、氨、水蒸气和氢气，并通过电火花放电提供能量。实验成功生成了多种有机分子，包括构成蛋白质的氨基酸。这表明，在模拟早期地球的条件下，无机物可以通过化学反应生成有机分子，支持了原始汤假说，即生命起源的化学演化理论。本文将从柏拉图和亚里士多德的视角，分析</w:t>
      </w:r>
      <w:r>
        <w:rPr>
          <w:rFonts w:hint="eastAsia" w:ascii="Times New Roman" w:hAnsi="Times New Roman" w:eastAsia="宋体" w:cs="Times New Roman"/>
          <w:sz w:val="24"/>
          <w:szCs w:val="24"/>
          <w:lang w:val="en-US" w:eastAsia="zh-CN"/>
        </w:rPr>
        <w:t>并比较其对</w:t>
      </w:r>
      <w:r>
        <w:rPr>
          <w:rFonts w:hint="default" w:ascii="Times New Roman" w:hAnsi="Times New Roman" w:eastAsia="宋体" w:cs="Times New Roman"/>
          <w:sz w:val="24"/>
          <w:szCs w:val="24"/>
          <w:lang w:val="en-US" w:eastAsia="zh-CN"/>
        </w:rPr>
        <w:t>该实验的形而上学假设和方法论</w:t>
      </w:r>
      <w:r>
        <w:rPr>
          <w:rFonts w:hint="eastAsia" w:ascii="Times New Roman" w:hAnsi="Times New Roman" w:eastAsia="宋体" w:cs="Times New Roman"/>
          <w:sz w:val="24"/>
          <w:szCs w:val="24"/>
          <w:lang w:val="en-US" w:eastAsia="zh-CN"/>
        </w:rPr>
        <w:t>的观点</w:t>
      </w:r>
      <w:r>
        <w:rPr>
          <w:rFonts w:hint="default" w:ascii="Times New Roman" w:hAnsi="Times New Roman" w:eastAsia="宋体" w:cs="Times New Roman"/>
          <w:sz w:val="24"/>
          <w:szCs w:val="24"/>
          <w:lang w:val="en-US" w:eastAsia="zh-CN"/>
        </w:rPr>
        <w:t>。</w:t>
      </w:r>
    </w:p>
    <w:p w14:paraId="531FAB47">
      <w:pPr>
        <w:spacing w:line="48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然而将无机物反应变化为有机物小分子的过程视作生命起源的假设，可能并不能为柏拉图所认同。在柏拉图看来，生命的本质和理想形式存在于一个超越的不可感知的领域，即理念世界。他认为理念世界是“永恒的、绝对不变的”，而现象世界是“短暂的、变化的”（p11, 32）。实验烧瓶里的一切都在不断地反应着，其所展示的变化过程产生的氨基酸等分子只是感官世界对理念世界的“不完美复制”（p11, 32），并非完美的不变的真实。</w:t>
      </w:r>
    </w:p>
    <w:p w14:paraId="66171328">
      <w:pPr>
        <w:spacing w:line="480" w:lineRule="auto"/>
        <w:ind w:firstLine="420" w:firstLineChars="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不过尽管他并不认为通过感知的实验就能接近生命的本质，他仍可能认可感觉经验的探索能带领人们“导向对相的真正认识”（p11, 37）。因为感觉经验可以唤起灵魂记忆，促进了反思的过程从而接近真正的实在。他可能会主张，虽然</w:t>
      </w:r>
      <w:r>
        <w:rPr>
          <w:rFonts w:hint="eastAsia" w:ascii="Times New Roman" w:hAnsi="Times New Roman" w:eastAsia="宋体" w:cs="Times New Roman"/>
          <w:sz w:val="24"/>
          <w:szCs w:val="24"/>
          <w:lang w:val="en-US" w:eastAsia="zh-CN"/>
        </w:rPr>
        <w:t>该</w:t>
      </w:r>
      <w:r>
        <w:rPr>
          <w:rFonts w:hint="default" w:ascii="Times New Roman" w:hAnsi="Times New Roman" w:eastAsia="宋体" w:cs="Times New Roman"/>
          <w:sz w:val="24"/>
          <w:szCs w:val="24"/>
          <w:lang w:val="en-US" w:eastAsia="zh-CN"/>
        </w:rPr>
        <w:t>实验提供了关于生命起源的线索，但要真正理解生命的本质，科学家需要进行更深入的哲学思考，运用理性去探寻生命的真正起源。</w:t>
      </w:r>
    </w:p>
    <w:p w14:paraId="19A2B333">
      <w:pPr>
        <w:spacing w:line="48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亚里士多德可能也同样无法认同该实验假设。在他看来，“我们所居住的世界是一个有序的世界”，</w:t>
      </w:r>
      <w:r>
        <w:rPr>
          <w:rFonts w:hint="eastAsia" w:ascii="Times New Roman" w:hAnsi="Times New Roman" w:eastAsia="宋体" w:cs="Times New Roman"/>
          <w:sz w:val="24"/>
          <w:szCs w:val="24"/>
          <w:lang w:val="en-US" w:eastAsia="zh-CN"/>
        </w:rPr>
        <w:t>而“</w:t>
      </w:r>
      <w:r>
        <w:rPr>
          <w:rFonts w:hint="default" w:ascii="Times New Roman" w:hAnsi="Times New Roman" w:eastAsia="宋体" w:cs="Times New Roman"/>
          <w:sz w:val="24"/>
          <w:szCs w:val="24"/>
          <w:lang w:val="en-US" w:eastAsia="zh-CN"/>
        </w:rPr>
        <w:t>每一自然物都有一种‘本性’”（p23, 17），生命也应当如此。他认为生物有机体的成长和发展可以用内在驱动力来解释。而实验中从无机物到有机物的变化是在电火花的外力作用下进行的，并非其本性，自然也不会是生命的起源。</w:t>
      </w:r>
    </w:p>
    <w:p w14:paraId="6A4D8934">
      <w:pPr>
        <w:spacing w:line="48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尽管如此，亚里士多德仍可能会赞赏实验的实证性。他认为，“</w:t>
      </w:r>
      <w:r>
        <w:rPr>
          <w:rFonts w:hint="eastAsia" w:ascii="Times New Roman" w:hAnsi="Times New Roman" w:eastAsia="宋体" w:cs="Times New Roman"/>
          <w:sz w:val="24"/>
          <w:szCs w:val="24"/>
          <w:lang w:val="en-US" w:eastAsia="zh-CN"/>
        </w:rPr>
        <w:t>获取</w:t>
      </w:r>
      <w:r>
        <w:rPr>
          <w:rFonts w:hint="default" w:ascii="Times New Roman" w:hAnsi="Times New Roman" w:eastAsia="宋体" w:cs="Times New Roman"/>
          <w:sz w:val="24"/>
          <w:szCs w:val="24"/>
          <w:lang w:val="en-US" w:eastAsia="zh-CN"/>
        </w:rPr>
        <w:t>知识</w:t>
      </w:r>
      <w:r>
        <w:rPr>
          <w:rFonts w:hint="eastAsia" w:ascii="Times New Roman" w:hAnsi="Times New Roman" w:eastAsia="宋体" w:cs="Times New Roman"/>
          <w:sz w:val="24"/>
          <w:szCs w:val="24"/>
          <w:lang w:val="en-US" w:eastAsia="zh-CN"/>
        </w:rPr>
        <w:t>的过程始于</w:t>
      </w:r>
      <w:r>
        <w:rPr>
          <w:rFonts w:hint="default" w:ascii="Times New Roman" w:hAnsi="Times New Roman" w:eastAsia="宋体" w:cs="Times New Roman"/>
          <w:sz w:val="24"/>
          <w:szCs w:val="24"/>
          <w:lang w:val="en-US" w:eastAsia="zh-CN"/>
        </w:rPr>
        <w:t>经验”</w:t>
      </w:r>
      <w:r>
        <w:rPr>
          <w:rFonts w:hint="eastAsia" w:ascii="Times New Roman" w:hAnsi="Times New Roman" w:eastAsia="宋体" w:cs="Times New Roman"/>
          <w:sz w:val="24"/>
          <w:szCs w:val="24"/>
          <w:lang w:val="en-US" w:eastAsia="zh-CN"/>
        </w:rPr>
        <w:t>（p20, 10）。</w:t>
      </w:r>
      <w:r>
        <w:rPr>
          <w:rFonts w:hint="default" w:ascii="Times New Roman" w:hAnsi="Times New Roman" w:eastAsia="宋体" w:cs="Times New Roman"/>
          <w:sz w:val="24"/>
          <w:szCs w:val="24"/>
          <w:lang w:val="en-US" w:eastAsia="zh-CN"/>
        </w:rPr>
        <w:t>实验通过观察和归纳揭示了自然规律，符合他的方法论。然而，他对于“应从事物自然无羁绊状态下发现其本性”（p23, 18）的信念使他很可能会质疑该实验的观测和模拟行为本身就会造成干扰。比如Criado-Reye</w:t>
      </w:r>
      <w:r>
        <w:rPr>
          <w:rFonts w:hint="eastAsia" w:ascii="Times New Roman" w:hAnsi="Times New Roman" w:eastAsia="宋体" w:cs="Times New Roman"/>
          <w:sz w:val="24"/>
          <w:szCs w:val="24"/>
          <w:lang w:val="en-US" w:eastAsia="zh-CN"/>
        </w:rPr>
        <w:t>s（2021）</w:t>
      </w:r>
      <w:r>
        <w:rPr>
          <w:rFonts w:hint="default" w:ascii="Times New Roman" w:hAnsi="Times New Roman" w:eastAsia="宋体" w:cs="Times New Roman"/>
          <w:sz w:val="24"/>
          <w:szCs w:val="24"/>
          <w:lang w:val="en-US" w:eastAsia="zh-CN"/>
        </w:rPr>
        <w:t>就曾试图探究实验中容器材质的影响。由于米勒所模拟的大气是高度碱性的，所以当碱性液体与烧瓶内壁的硼硅酸盐玻璃接触时，</w:t>
      </w:r>
      <w:r>
        <w:rPr>
          <w:rFonts w:hint="eastAsia" w:ascii="Times New Roman" w:hAnsi="Times New Roman" w:eastAsia="宋体" w:cs="Times New Roman"/>
          <w:sz w:val="24"/>
          <w:szCs w:val="24"/>
          <w:lang w:val="en-US" w:eastAsia="zh-CN"/>
        </w:rPr>
        <w:t>这种玻璃可能</w:t>
      </w:r>
      <w:r>
        <w:rPr>
          <w:rFonts w:hint="default" w:ascii="Times New Roman" w:hAnsi="Times New Roman" w:eastAsia="宋体" w:cs="Times New Roman"/>
          <w:sz w:val="24"/>
          <w:szCs w:val="24"/>
          <w:lang w:val="en-US" w:eastAsia="zh-CN"/>
        </w:rPr>
        <w:t>会出现轻微的溶解</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并释放出一些物质进入蒸汽。尽管他们也提出</w:t>
      </w:r>
      <w:r>
        <w:rPr>
          <w:rFonts w:hint="eastAsia" w:ascii="Times New Roman" w:hAnsi="Times New Roman" w:eastAsia="宋体" w:cs="Times New Roman"/>
          <w:sz w:val="24"/>
          <w:szCs w:val="24"/>
          <w:lang w:val="en-US" w:eastAsia="zh-CN"/>
        </w:rPr>
        <w:t>其</w:t>
      </w:r>
      <w:r>
        <w:rPr>
          <w:rFonts w:hint="default" w:ascii="Times New Roman" w:hAnsi="Times New Roman" w:eastAsia="宋体" w:cs="Times New Roman"/>
          <w:sz w:val="24"/>
          <w:szCs w:val="24"/>
          <w:lang w:val="en-US" w:eastAsia="zh-CN"/>
        </w:rPr>
        <w:t>成分似乎能还原真实环境下岩石的作用，不过在亚里士多德看来这显然证实了实验本身受到了干扰。</w:t>
      </w:r>
    </w:p>
    <w:p w14:paraId="03B989E3">
      <w:pPr>
        <w:spacing w:line="48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柏拉图和亚里士多德对</w:t>
      </w:r>
      <w:r>
        <w:rPr>
          <w:rFonts w:hint="eastAsia" w:ascii="Times New Roman" w:hAnsi="Times New Roman" w:eastAsia="宋体" w:cs="Times New Roman"/>
          <w:sz w:val="24"/>
          <w:szCs w:val="24"/>
          <w:lang w:val="en-US" w:eastAsia="zh-CN"/>
        </w:rPr>
        <w:t>该</w:t>
      </w:r>
      <w:r>
        <w:rPr>
          <w:rFonts w:hint="default" w:ascii="Times New Roman" w:hAnsi="Times New Roman" w:eastAsia="宋体" w:cs="Times New Roman"/>
          <w:sz w:val="24"/>
          <w:szCs w:val="24"/>
          <w:lang w:val="en-US" w:eastAsia="zh-CN"/>
        </w:rPr>
        <w:t>实验的看法反映了他们在形而上学和方法论上的差异。柏拉图</w:t>
      </w:r>
      <w:r>
        <w:rPr>
          <w:rFonts w:hint="eastAsia" w:ascii="Times New Roman" w:hAnsi="Times New Roman" w:eastAsia="宋体" w:cs="Times New Roman"/>
          <w:sz w:val="24"/>
          <w:szCs w:val="24"/>
          <w:lang w:val="en-US" w:eastAsia="zh-CN"/>
        </w:rPr>
        <w:t>关注实体与完美理念的差异</w:t>
      </w:r>
      <w:r>
        <w:rPr>
          <w:rFonts w:hint="default" w:ascii="Times New Roman" w:hAnsi="Times New Roman" w:eastAsia="宋体" w:cs="Times New Roman"/>
          <w:sz w:val="24"/>
          <w:szCs w:val="24"/>
          <w:lang w:val="en-US" w:eastAsia="zh-CN"/>
        </w:rPr>
        <w:t>，认为实验的成果无法揭示生命的真实本质</w:t>
      </w:r>
      <w:r>
        <w:rPr>
          <w:rFonts w:hint="eastAsia" w:ascii="Times New Roman" w:hAnsi="Times New Roman" w:eastAsia="宋体" w:cs="Times New Roman"/>
          <w:sz w:val="24"/>
          <w:szCs w:val="24"/>
          <w:lang w:val="en-US" w:eastAsia="zh-CN"/>
        </w:rPr>
        <w:t>且</w:t>
      </w:r>
      <w:r>
        <w:rPr>
          <w:rFonts w:hint="default" w:ascii="Times New Roman" w:hAnsi="Times New Roman" w:eastAsia="宋体" w:cs="Times New Roman"/>
          <w:sz w:val="24"/>
          <w:szCs w:val="24"/>
          <w:lang w:val="en-US" w:eastAsia="zh-CN"/>
        </w:rPr>
        <w:t>更倾向于哲学思辨</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亚里士多德</w:t>
      </w:r>
      <w:r>
        <w:rPr>
          <w:rFonts w:hint="eastAsia" w:ascii="Times New Roman" w:hAnsi="Times New Roman" w:eastAsia="宋体" w:cs="Times New Roman"/>
          <w:sz w:val="24"/>
          <w:szCs w:val="24"/>
          <w:lang w:val="en-US" w:eastAsia="zh-CN"/>
        </w:rPr>
        <w:t>虽然</w:t>
      </w:r>
      <w:r>
        <w:rPr>
          <w:rFonts w:hint="default" w:ascii="Times New Roman" w:hAnsi="Times New Roman" w:eastAsia="宋体" w:cs="Times New Roman"/>
          <w:sz w:val="24"/>
          <w:szCs w:val="24"/>
          <w:lang w:val="en-US" w:eastAsia="zh-CN"/>
        </w:rPr>
        <w:t>强调物质的实际存在和变化</w:t>
      </w:r>
      <w:r>
        <w:rPr>
          <w:rFonts w:hint="eastAsia" w:ascii="Times New Roman" w:hAnsi="Times New Roman" w:eastAsia="宋体" w:cs="Times New Roman"/>
          <w:sz w:val="24"/>
          <w:szCs w:val="24"/>
          <w:lang w:val="en-US" w:eastAsia="zh-CN"/>
        </w:rPr>
        <w:t>且重视</w:t>
      </w:r>
      <w:r>
        <w:rPr>
          <w:rFonts w:hint="default" w:ascii="Times New Roman" w:hAnsi="Times New Roman" w:eastAsia="宋体" w:cs="Times New Roman"/>
          <w:sz w:val="24"/>
          <w:szCs w:val="24"/>
          <w:lang w:val="en-US" w:eastAsia="zh-CN"/>
        </w:rPr>
        <w:t>经验和观察，</w:t>
      </w:r>
      <w:r>
        <w:rPr>
          <w:rFonts w:hint="eastAsia" w:ascii="Times New Roman" w:hAnsi="Times New Roman" w:eastAsia="宋体" w:cs="Times New Roman"/>
          <w:sz w:val="24"/>
          <w:szCs w:val="24"/>
          <w:lang w:val="en-US" w:eastAsia="zh-CN"/>
        </w:rPr>
        <w:t>却质疑观测行为的干扰性</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不过</w:t>
      </w:r>
      <w:r>
        <w:rPr>
          <w:rFonts w:hint="eastAsia" w:ascii="宋体" w:hAnsi="宋体" w:eastAsia="宋体" w:cs="宋体"/>
          <w:kern w:val="0"/>
          <w:sz w:val="24"/>
          <w:szCs w:val="24"/>
          <w:lang w:val="en-US" w:eastAsia="zh-CN" w:bidi="ar"/>
        </w:rPr>
        <w:t>他们都承认该实验</w:t>
      </w:r>
      <w:r>
        <w:rPr>
          <w:rFonts w:hint="eastAsia" w:ascii="Times New Roman" w:hAnsi="Times New Roman" w:eastAsia="宋体" w:cs="Times New Roman"/>
          <w:sz w:val="24"/>
          <w:szCs w:val="24"/>
          <w:lang w:val="en-US" w:eastAsia="zh-CN"/>
        </w:rPr>
        <w:t>有助于获取</w:t>
      </w:r>
      <w:r>
        <w:rPr>
          <w:rFonts w:hint="default" w:ascii="Times New Roman" w:hAnsi="Times New Roman" w:eastAsia="宋体" w:cs="Times New Roman"/>
          <w:sz w:val="24"/>
          <w:szCs w:val="24"/>
          <w:lang w:val="en-US" w:eastAsia="zh-CN"/>
        </w:rPr>
        <w:t>生命起源</w:t>
      </w:r>
      <w:r>
        <w:rPr>
          <w:rFonts w:hint="eastAsia" w:ascii="Times New Roman" w:hAnsi="Times New Roman" w:eastAsia="宋体" w:cs="Times New Roman"/>
          <w:sz w:val="24"/>
          <w:szCs w:val="24"/>
          <w:lang w:val="en-US" w:eastAsia="zh-CN"/>
        </w:rPr>
        <w:t>的真正知识，也都</w:t>
      </w:r>
      <w:r>
        <w:rPr>
          <w:rFonts w:ascii="宋体" w:hAnsi="宋体" w:eastAsia="宋体" w:cs="宋体"/>
          <w:kern w:val="0"/>
          <w:sz w:val="24"/>
          <w:szCs w:val="24"/>
          <w:lang w:val="en-US" w:eastAsia="zh-CN" w:bidi="ar"/>
        </w:rPr>
        <w:t>为理解生命起源提供了独特视角。</w:t>
      </w:r>
    </w:p>
    <w:p w14:paraId="7012A5B2">
      <w:pPr>
        <w:spacing w:line="480" w:lineRule="auto"/>
        <w:jc w:val="righ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（字数：1196）</w:t>
      </w:r>
    </w:p>
    <w:p w14:paraId="054AF657">
      <w:pPr>
        <w:spacing w:line="480" w:lineRule="auto"/>
        <w:jc w:val="left"/>
        <w:rPr>
          <w:rFonts w:hint="eastAsia" w:ascii="宋体" w:hAnsi="宋体" w:eastAsia="宋体" w:cs="宋体"/>
          <w:sz w:val="24"/>
          <w:szCs w:val="24"/>
          <w:lang w:val="en-US" w:eastAsia="zh-CN"/>
        </w:rPr>
      </w:pPr>
      <w:bookmarkStart w:id="0" w:name="_GoBack"/>
      <w:bookmarkEnd w:id="0"/>
    </w:p>
    <w:p w14:paraId="7A7BDB66">
      <w:pPr>
        <w:spacing w:line="480" w:lineRule="auto"/>
        <w:jc w:val="left"/>
        <w:rPr>
          <w:rFonts w:hint="eastAsia" w:ascii="宋体" w:hAnsi="宋体" w:eastAsia="宋体" w:cs="宋体"/>
          <w:sz w:val="24"/>
          <w:szCs w:val="24"/>
          <w:lang w:val="en-US" w:eastAsia="zh-CN"/>
        </w:rPr>
      </w:pPr>
    </w:p>
    <w:p w14:paraId="41D7961D">
      <w:pPr>
        <w:spacing w:line="480" w:lineRule="auto"/>
        <w:jc w:val="left"/>
        <w:rPr>
          <w:rFonts w:hint="eastAsia" w:ascii="宋体" w:hAnsi="宋体" w:eastAsia="宋体" w:cs="宋体"/>
          <w:sz w:val="24"/>
          <w:szCs w:val="24"/>
          <w:lang w:val="en-US" w:eastAsia="zh-CN"/>
        </w:rPr>
      </w:pPr>
    </w:p>
    <w:p w14:paraId="3B7125E4">
      <w:pPr>
        <w:spacing w:line="480" w:lineRule="auto"/>
        <w:jc w:val="left"/>
        <w:rPr>
          <w:rFonts w:hint="eastAsia" w:ascii="宋体" w:hAnsi="宋体" w:eastAsia="宋体" w:cs="宋体"/>
          <w:sz w:val="24"/>
          <w:szCs w:val="24"/>
          <w:lang w:val="en-US" w:eastAsia="zh-CN"/>
        </w:rPr>
      </w:pPr>
    </w:p>
    <w:p w14:paraId="3CB71216">
      <w:pPr>
        <w:spacing w:line="480" w:lineRule="auto"/>
        <w:jc w:val="left"/>
        <w:rPr>
          <w:rFonts w:hint="eastAsia" w:ascii="宋体" w:hAnsi="宋体" w:eastAsia="宋体" w:cs="宋体"/>
          <w:sz w:val="24"/>
          <w:szCs w:val="24"/>
          <w:lang w:val="en-US" w:eastAsia="zh-CN"/>
        </w:rPr>
      </w:pPr>
    </w:p>
    <w:p w14:paraId="793B5FCD">
      <w:pPr>
        <w:spacing w:line="480" w:lineRule="auto"/>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References</w:t>
      </w:r>
    </w:p>
    <w:p w14:paraId="7C0C66FA">
      <w:pPr>
        <w:keepNext w:val="0"/>
        <w:keepLines w:val="0"/>
        <w:pageBreakBefore w:val="0"/>
        <w:widowControl/>
        <w:suppressLineNumbers w:val="0"/>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Criado-Reyes, J., Bizzarri, B. M., García-Ruiz, J. M., Saladino, R., &amp; Di Mauro, E. (2021). The role of borosilicate glass in Miller–Urey experiment. </w:t>
      </w:r>
      <w:r>
        <w:rPr>
          <w:rStyle w:val="5"/>
          <w:rFonts w:hint="default" w:ascii="Times New Roman" w:hAnsi="Times New Roman" w:eastAsia="宋体" w:cs="Times New Roman"/>
          <w:kern w:val="0"/>
          <w:sz w:val="24"/>
          <w:szCs w:val="24"/>
          <w:lang w:val="en-US" w:eastAsia="zh-CN" w:bidi="ar"/>
        </w:rPr>
        <w:t>Scientific Reports, 11</w:t>
      </w:r>
      <w:r>
        <w:rPr>
          <w:rFonts w:hint="default" w:ascii="Times New Roman" w:hAnsi="Times New Roman" w:eastAsia="宋体" w:cs="Times New Roman"/>
          <w:kern w:val="0"/>
          <w:sz w:val="24"/>
          <w:szCs w:val="24"/>
          <w:lang w:val="en-US" w:eastAsia="zh-CN" w:bidi="ar"/>
        </w:rPr>
        <w:t xml:space="preserve">(1), 21009. </w:t>
      </w:r>
      <w:r>
        <w:rPr>
          <w:rFonts w:hint="default" w:ascii="Times New Roman" w:hAnsi="Times New Roman" w:eastAsia="宋体" w:cs="Times New Roman"/>
          <w:kern w:val="0"/>
          <w:sz w:val="24"/>
          <w:szCs w:val="24"/>
          <w:lang w:val="en-US" w:eastAsia="zh-CN" w:bidi="ar"/>
        </w:rPr>
        <w:fldChar w:fldCharType="begin"/>
      </w:r>
      <w:r>
        <w:rPr>
          <w:rFonts w:hint="default" w:ascii="Times New Roman" w:hAnsi="Times New Roman" w:eastAsia="宋体" w:cs="Times New Roman"/>
          <w:kern w:val="0"/>
          <w:sz w:val="24"/>
          <w:szCs w:val="24"/>
          <w:lang w:val="en-US" w:eastAsia="zh-CN" w:bidi="ar"/>
        </w:rPr>
        <w:instrText xml:space="preserve"> HYPERLINK "https://doi.org/10.1038/s41598-021-00235-4" \t "https://kimi.moonshot.cn/chat/_blank" </w:instrText>
      </w:r>
      <w:r>
        <w:rPr>
          <w:rFonts w:hint="default" w:ascii="Times New Roman" w:hAnsi="Times New Roman" w:eastAsia="宋体" w:cs="Times New Roman"/>
          <w:kern w:val="0"/>
          <w:sz w:val="24"/>
          <w:szCs w:val="24"/>
          <w:lang w:val="en-US" w:eastAsia="zh-CN" w:bidi="ar"/>
        </w:rPr>
        <w:fldChar w:fldCharType="separate"/>
      </w:r>
      <w:r>
        <w:rPr>
          <w:rStyle w:val="6"/>
          <w:rFonts w:hint="default" w:ascii="Times New Roman" w:hAnsi="Times New Roman" w:eastAsia="宋体" w:cs="Times New Roman"/>
          <w:sz w:val="24"/>
          <w:szCs w:val="24"/>
        </w:rPr>
        <w:t>https://doi.org/10.1038/s41598-021-00235-4</w:t>
      </w:r>
      <w:r>
        <w:rPr>
          <w:rFonts w:hint="default" w:ascii="Times New Roman" w:hAnsi="Times New Roman" w:eastAsia="宋体" w:cs="Times New Roman"/>
          <w:kern w:val="0"/>
          <w:sz w:val="24"/>
          <w:szCs w:val="24"/>
          <w:lang w:val="en-US" w:eastAsia="zh-CN" w:bidi="ar"/>
        </w:rPr>
        <w:fldChar w:fldCharType="end"/>
      </w:r>
    </w:p>
    <w:p w14:paraId="3954A20B">
      <w:pPr>
        <w:spacing w:line="480" w:lineRule="auto"/>
        <w:jc w:val="left"/>
        <w:rPr>
          <w:rFonts w:hint="default" w:ascii="Times New Roman" w:hAnsi="Times New Roman" w:eastAsia="宋体"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A65F08"/>
    <w:rsid w:val="1BA65F08"/>
    <w:rsid w:val="530F7B43"/>
    <w:rsid w:val="58487AE6"/>
    <w:rsid w:val="653B188B"/>
    <w:rsid w:val="78753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character" w:styleId="5">
    <w:name w:val="Emphasis"/>
    <w:basedOn w:val="4"/>
    <w:qFormat/>
    <w:uiPriority w:val="0"/>
    <w:rPr>
      <w:i/>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1230</Words>
  <Characters>1454</Characters>
  <Lines>0</Lines>
  <Paragraphs>0</Paragraphs>
  <TotalTime>79</TotalTime>
  <ScaleCrop>false</ScaleCrop>
  <LinksUpToDate>false</LinksUpToDate>
  <CharactersWithSpaces>1487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2025-02-20T12:42:00Z</dcterms:created>
  <dc:creator>荏苒任冬去</dc:creator>
  <cp:lastModifiedBy>荏苒任冬去</cp:lastModifiedBy>
  <dcterms:modified xsi:type="dcterms:W3CDTF">2025-02-21T07:12:56Z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DEDE72FC01DE462482BC4B006DF7F054_11</vt:lpwstr>
  </property>
  <property fmtid="{D5CDD505-2E9C-101B-9397-08002B2CF9AE}" pid="4" name="KSOTemplateDocerSaveRecord">
    <vt:lpwstr>eyJoZGlkIjoiMjE1NGQ3YTc2MDJkZWIyNGZmNjVmOTg2MGFjZDFjMGIiLCJ1c2VySWQiOiI2ODg5OTM4ODcifQ==</vt:lpwstr>
  </property>
</Properties>
</file>