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30"/>
        </w:rPr>
        <w:t>「2026 한복인문학 특강」 상세 예산표 (내부용)</w:t>
      </w:r>
    </w:p>
    <w:p>
      <w:r>
        <w:rPr>
          <w:rFonts w:ascii="맑은 고딕" w:hAnsi="맑은 고딕" w:eastAsia="맑은 고딕"/>
          <w:color w:val="606060"/>
          <w:sz w:val="18"/>
        </w:rPr>
        <w:t>※ 회색 음영 = 온나무 직접 수행 영역(내부 처리) / 백색 = 용역사 위탁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세부내용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단위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단가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합계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담당(역할)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강사료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인문학특강 강사료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기획팀(온나무 직접)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교통비 등 포함 / 내부 처리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사회진행비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361,000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2,166,000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현장운영(로컬 협업 매니저)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사회자 교통비 포함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행사 사진·영상 촬영 및 편집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2,232,500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2,232,500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행정·운영지원(영상제작)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 결과물 1EA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인쇄비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강연자료집 제작 및 인쇄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1,425,000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1,425,000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제작·인쇄(용역사)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SNS 제작비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홍보(용역사)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SNS 게시물 제작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포스터 수정비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홍보(용역사)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포스터 수정·편집</w:t>
            </w:r>
          </w:p>
        </w:tc>
      </w:tr>
      <w:tr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포스터 초안 제작비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기획·홍보(온나무 직접)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제작 내부 처리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인쇄비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강연장 현수막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EA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114,000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684,000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제작·인쇄(용역사)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운영스텝비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2인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142,500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1,710,000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현장운영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행사운영 잡비, 다과 및 회의비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2,850,000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2,850,000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운영지원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 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11,067,500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용역사 위탁분(백색)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회색 영역 별도</w:t>
            </w:r>
          </w:p>
        </w:tc>
      </w:tr>
    </w:tbl>
    <w:p>
      <w:r>
        <w:rPr>
          <w:rFonts w:ascii="맑은 고딕" w:hAnsi="맑은 고딕" w:eastAsia="맑은 고딕"/>
          <w:color w:val="808080"/>
          <w:sz w:val="17"/>
        </w:rPr>
        <w:t>※ 회색 영역(강사료·포스터 초안 제작비) 및 SNS 제작비·포스터 수정비 단가는 협의 후 확정 예정입니다.</w:t>
      </w:r>
    </w:p>
    <w:sectPr w:rsidR="00FC693F" w:rsidRPr="0006063C" w:rsidSect="00034616">
      <w:pgSz w:w="12240" w:h="15840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