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상호협약서</w:t>
      </w:r>
    </w:p>
    <w:p>
      <w:pPr>
        <w:jc w:val="center"/>
      </w:pPr>
      <w:r>
        <w:t>건물 활용 및 수익 창출에 관한 협력 협약</w:t>
      </w:r>
    </w:p>
    <w:p/>
    <w:p>
      <w:r>
        <w:t xml:space="preserve">본 협약서는 정식 계약 체결을 위한 중간 단계의 협의 문서이며, 정식 계약서 체결 전까지 법적 구속력을 갖지 아니한다. </w:t>
      </w:r>
      <w:r>
        <w:rPr>
          <w:b/>
        </w:rPr>
        <w:t>★단, 제7조(비밀유지), 제8조(분쟁해결), 제9조(손해배상)는 본 협약 체결 시부터 법적 구속력을 가진다.★</w:t>
      </w:r>
    </w:p>
    <w:p/>
    <w:p>
      <w:r>
        <w:t>최동녘(이하 "갑")과 이석민(이하 "을")은 대상 건물의 활용 및 향후 매각을 통한 수익 창출을 위해 상호 협력하기로 하고, 다음과 같이 협약한다.</w:t>
      </w:r>
    </w:p>
    <w:p/>
    <w:p>
      <w:pPr>
        <w:pStyle w:val="Heading2"/>
      </w:pPr>
      <w:r>
        <w:t>제1조 (협약의 목적)</w:t>
      </w:r>
    </w:p>
    <w:p>
      <w:r>
        <w:t>본 협약은 갑과 을이 대상 건물의 사용·운영 및 향후 매각에 관한 협력 방향을 합의하는 것을 목적으로 한다.</w:t>
      </w:r>
    </w:p>
    <w:p>
      <w:pPr>
        <w:pStyle w:val="Heading2"/>
      </w:pPr>
      <w:r>
        <w:t>제2조 (협약의 대상)</w:t>
      </w:r>
    </w:p>
    <w:p>
      <w:r>
        <w:t>① 본 협약의 대상 건물은 양 당사자가 상호 합의한 건물로 하며, 구체적인 내용(위치, 면적 등)은 정식 계약 체결 시 특정한다.</w:t>
      </w:r>
    </w:p>
    <w:p>
      <w:r>
        <w:rPr>
          <w:b/>
        </w:rPr>
        <w:t>★② 양 당사자는 본 협약 체결일로부터 30일 이내에 대상 건물을 특정하기 위한 협의를 개시하여야 하며, 협의 개시일로부터 60일 이내에 대상 건물에 관한 합의서를 별도 작성한다.★</w:t>
      </w:r>
    </w:p>
    <w:p>
      <w:pPr>
        <w:pStyle w:val="Heading2"/>
      </w:pPr>
      <w:r>
        <w:t>제3조 (건물 사용 방식)</w:t>
      </w:r>
    </w:p>
    <w:p>
      <w:r>
        <w:t>① 을은 대상 건물 소유주와의 협의를 조력하며, 대여 방식은 아래 각 호 중 하나로 정한다.</w:t>
      </w:r>
    </w:p>
    <w:p>
      <w:r>
        <w:t xml:space="preserve">    가. 소유주로부터 갑이 직접 계약하는 방식 (을이 협의 조력)</w:t>
      </w:r>
    </w:p>
    <w:p>
      <w:r>
        <w:t xml:space="preserve">    나. 을(또는 을이 대표로 있는 법인)이 소유주로부터 위탁받아 갑과 재계약하는 방식</w:t>
      </w:r>
    </w:p>
    <w:p>
      <w:r>
        <w:t>② 구체적인 방식은 양 당사자의 협의로 결정한다.</w:t>
      </w:r>
    </w:p>
    <w:p>
      <w:r>
        <w:rPr>
          <w:b/>
        </w:rPr>
        <w:t>★③ 을의 협의 조력에 따른 비용(교통비, 통신비 등 실비)은 갑이 부담하며, 그 범위는 월 50만원을 한도로 한다. 한도 초과 비용 발생 시 사전 서면 합의를 요한다.★</w:t>
      </w:r>
    </w:p>
    <w:p>
      <w:pPr>
        <w:pStyle w:val="Heading2"/>
      </w:pPr>
      <w:r>
        <w:t>제4조 (수익 창출 목표)</w:t>
      </w:r>
    </w:p>
    <w:p>
      <w:r>
        <w:t>① 양 당사자는 건물 사용 개시 후 약 3년~4년 시점을 기준으로 대상 건물의 매각을 통한 수익 창출을 목표로 한다.</w:t>
      </w:r>
    </w:p>
    <w:p>
      <w:r>
        <w:rPr>
          <w:b/>
        </w:rPr>
        <w:t>★② 매각 시 수익 배분은 갑과 을이 각각 [  ]%와 [  ]%로 하며, 구체적인 비율은 정식 계약 체결 시 확정한다.★</w:t>
      </w:r>
    </w:p>
    <w:p>
      <w:r>
        <w:rPr>
          <w:b/>
        </w:rPr>
        <w:t>★③ '수익'의 정의는 매각대금에서 취득원가, 운영비용, 세금 및 기타 필수 경비를 공제한 순수익을 의미한다.★</w:t>
      </w:r>
    </w:p>
    <w:p>
      <w:r>
        <w:t>④ 매각 시기·조건·수익 배분 등의 세부 사항은 정식 계약 시 별도 협의한다.</w:t>
      </w:r>
    </w:p>
    <w:p>
      <w:pPr>
        <w:pStyle w:val="Heading2"/>
      </w:pPr>
      <w:r>
        <w:t>제5조 (법적 효력 및 유효 기간)</w:t>
      </w:r>
    </w:p>
    <w:p>
      <w:r>
        <w:t xml:space="preserve">① 본 협약서는 정식 계약 체결 전까지 법적 구속력을 갖지 아니하며, 양 당사자의 협력 의사를 확인하는 문서로서의 의미를 가진다. </w:t>
      </w:r>
      <w:r>
        <w:rPr>
          <w:b/>
        </w:rPr>
        <w:t>★단, 제7조 내지 제10조는 예외로 한다.★</w:t>
      </w:r>
    </w:p>
    <w:p>
      <w:r>
        <w:t>② 본 협약의 유효 기간은 협약 체결일로부터 정식 계약이 체결되는 날까지로 한다.</w:t>
      </w:r>
    </w:p>
    <w:p>
      <w:r>
        <w:rPr>
          <w:b/>
        </w:rPr>
        <w:t>★③ 본 협약 체결일로부터 6개월 이내에 정식 계약이 체결되지 아니할 경우, 양 당사자는 협약의 연장 또는 종료 여부를 협의하여야 한다.★</w:t>
      </w:r>
    </w:p>
    <w:p>
      <w:pPr>
        <w:pStyle w:val="Heading2"/>
      </w:pPr>
      <w:r>
        <w:t>제6조 (추가 협약)</w:t>
      </w:r>
    </w:p>
    <w:p>
      <w:r>
        <w:t>양 당사자는 필요에 따라 본 협약을 보완하거나 구체화하기 위한 추가 협약을 별도로 체결할 수 있으며, 추가 협약은 양 당사자가 서명함으로써 본 협약의 일부를 이룬다.</w:t>
      </w:r>
    </w:p>
    <w:p/>
    <w:p>
      <w:pPr>
        <w:jc w:val="center"/>
      </w:pPr>
      <w:r>
        <w:rPr>
          <w:b/>
        </w:rPr>
        <w:t>★ 추가 조항 ★</w:t>
      </w:r>
    </w:p>
    <w:p>
      <w:pPr>
        <w:pStyle w:val="Heading2"/>
      </w:pPr>
      <w:r>
        <w:t>★제7조 (비밀유지)★</w:t>
      </w:r>
    </w:p>
    <w:p>
      <w:r>
        <w:t>① 양 당사자는 본 협약의 체결 및 이행 과정에서 알게 된 상대방의 비밀정보(사업계획, 재무정보, 협상내용 등)를 제3자에게 누설하거나 본 협약의 목적 외의 용도로 사용하여서는 아니 된다.</w:t>
      </w:r>
    </w:p>
    <w:p>
      <w:r>
        <w:t>② 본 조의 비밀유지 의무는 본 협약의 종료 후 2년간 존속한다.</w:t>
      </w:r>
    </w:p>
    <w:p>
      <w:r>
        <w:t>③ 다만, 다음 각 호의 경우에는 비밀유지 의무가 적용되지 아니한다.</w:t>
      </w:r>
    </w:p>
    <w:p>
      <w:r>
        <w:t xml:space="preserve">    가. 공지의 사실이 된 정보</w:t>
      </w:r>
    </w:p>
    <w:p>
      <w:r>
        <w:t xml:space="preserve">    나. 법령에 따라 공개가 요구되는 정보</w:t>
      </w:r>
    </w:p>
    <w:p>
      <w:r>
        <w:t xml:space="preserve">    다. 상대방의 사전 서면 동의를 받은 경우</w:t>
      </w:r>
    </w:p>
    <w:p>
      <w:pPr>
        <w:pStyle w:val="Heading2"/>
      </w:pPr>
      <w:r>
        <w:t>★제8조 (분쟁해결)★</w:t>
      </w:r>
    </w:p>
    <w:p>
      <w:r>
        <w:t>① 본 협약과 관련하여 분쟁이 발생한 경우, 양 당사자는 먼저 상호 협의를 통해 원만히 해결하도록 노력한다.</w:t>
      </w:r>
    </w:p>
    <w:p>
      <w:r>
        <w:t>② 제1항의 협의가 30일 이내에 이루어지지 아니할 경우, 대한민국 법률을 준거법으로 하여 서울중앙지방법원을 제1심 전속관할 법원으로 하여 해결한다.</w:t>
      </w:r>
    </w:p>
    <w:p>
      <w:pPr>
        <w:pStyle w:val="Heading2"/>
      </w:pPr>
      <w:r>
        <w:t>★제9조 (손해배상)★</w:t>
      </w:r>
    </w:p>
    <w:p>
      <w:r>
        <w:t>① 양 당사자는 고의 또는 중대한 과실로 본 협약을 위반하여 상대방에게 손해를 끼친 경우, 이를 배상할 책임을 진다.</w:t>
      </w:r>
    </w:p>
    <w:p>
      <w:r>
        <w:t>② 손해배상의 범위는 통상손해에 한하며, 특별손해는 예견가능성이 있는 경우에 한하여 배상한다.</w:t>
      </w:r>
    </w:p>
    <w:p>
      <w:pPr>
        <w:pStyle w:val="Heading2"/>
      </w:pPr>
      <w:r>
        <w:t>★제10조 (협약의 종료 및 해지)★</w:t>
      </w:r>
    </w:p>
    <w:p>
      <w:r>
        <w:t>① 양 당사자는 상대방에게 30일 전 서면 통지로 본 협약을 해지할 수 있다.</w:t>
      </w:r>
    </w:p>
    <w:p>
      <w:r>
        <w:t>② 다음 각 호의 경우, 일방 당사자는 즉시 본 협약을 해지할 수 있다.</w:t>
      </w:r>
    </w:p>
    <w:p>
      <w:r>
        <w:t xml:space="preserve">    가. 상대방이 본 협약상 의무를 중대하게 위반하고, 시정 요구 후 14일 이내에 시정하지 아니한 경우</w:t>
      </w:r>
    </w:p>
    <w:p>
      <w:r>
        <w:t xml:space="preserve">    나. 상대방이 파산, 회생절차 개시 등 지급불능 상태에 빠진 경우</w:t>
      </w:r>
    </w:p>
    <w:p>
      <w:r>
        <w:t>③ 협약 종료 시 양 당사자는 상대방으로부터 제공받은 자료 및 정보를 반환하거나 폐기하여야 한다.</w:t>
      </w:r>
    </w:p>
    <w:p>
      <w:pPr>
        <w:pStyle w:val="Heading2"/>
      </w:pPr>
      <w:r>
        <w:t>★제11조 (양도 금지)★</w:t>
      </w:r>
    </w:p>
    <w:p>
      <w:r>
        <w:t>양 당사자는 상대방의 사전 서면 동의 없이 본 협약상의 권리 및 의무를 제3자에게 양도하거나 담보로 제공할 수 없다.</w:t>
      </w:r>
    </w:p>
    <w:p>
      <w:pPr>
        <w:pStyle w:val="Heading2"/>
      </w:pPr>
      <w:r>
        <w:t>★제12조 (통지)★</w:t>
      </w:r>
    </w:p>
    <w:p>
      <w:r>
        <w:t>① 본 협약과 관련한 모든 통지는 서면(이메일 포함)으로 하여야 하며, 상대방이 지정한 주소로 발송한다.</w:t>
      </w:r>
    </w:p>
    <w:p>
      <w:r>
        <w:t>② 통지는 상대방에게 도달한 때에 효력이 발생한다.</w:t>
      </w:r>
    </w:p>
    <w:p/>
    <w:p>
      <w:r>
        <w:rPr>
          <w:b/>
        </w:rPr>
        <w:t xml:space="preserve">준거법 / 관할: </w:t>
      </w:r>
      <w:r>
        <w:t>대한민국</w:t>
      </w:r>
    </w:p>
    <w:p/>
    <w:p>
      <w:r>
        <w:t>본 협약의 성립을 증명하기 위하여 본 협약서 2부를 작성하고, 양 당사자가 서명 또는 기명날인 후 각 1부씩 보관한다.</w:t>
      </w:r>
    </w:p>
    <w:p/>
    <w:p>
      <w:r>
        <w:rPr>
          <w:b/>
        </w:rPr>
        <w:t xml:space="preserve">협약 체결일: </w:t>
      </w:r>
      <w:r>
        <w:t>20___년 ___월 ___일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갑 (甲)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을 (乙)</w:t>
            </w:r>
          </w:p>
        </w:tc>
      </w:tr>
      <w:tr>
        <w:tc>
          <w:tcPr>
            <w:tcW w:type="dxa" w:w="4320"/>
          </w:tcPr>
          <w:p>
            <w:r>
              <w:t>성명: 최동녘</w:t>
            </w:r>
          </w:p>
        </w:tc>
        <w:tc>
          <w:tcPr>
            <w:tcW w:type="dxa" w:w="4320"/>
          </w:tcPr>
          <w:p>
            <w:r>
              <w:t>성명: 이석민</w:t>
            </w:r>
          </w:p>
        </w:tc>
      </w:tr>
      <w:tr>
        <w:tc>
          <w:tcPr>
            <w:tcW w:type="dxa" w:w="4320"/>
          </w:tcPr>
          <w:p>
            <w:r>
              <w:t>주소:</w:t>
            </w:r>
          </w:p>
        </w:tc>
        <w:tc>
          <w:tcPr>
            <w:tcW w:type="dxa" w:w="4320"/>
          </w:tcPr>
          <w:p>
            <w:r>
              <w:t>주소:</w:t>
            </w:r>
          </w:p>
        </w:tc>
      </w:tr>
      <w:tr>
        <w:tc>
          <w:tcPr>
            <w:tcW w:type="dxa" w:w="4320"/>
          </w:tcPr>
          <w:p>
            <w:r>
              <w:t>서명:</w:t>
            </w:r>
          </w:p>
        </w:tc>
        <w:tc>
          <w:tcPr>
            <w:tcW w:type="dxa" w:w="4320"/>
          </w:tcPr>
          <w:p>
            <w:r>
              <w:t>서명:</w:t>
            </w:r>
          </w:p>
        </w:tc>
      </w:tr>
    </w:tbl>
    <w:p/>
    <w:p/>
    <w:p>
      <w:pPr>
        <w:pStyle w:val="Heading1"/>
      </w:pPr>
      <w:r>
        <w:t>수정 내역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수정 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수정 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수정 이유</w:t>
            </w:r>
          </w:p>
        </w:tc>
      </w:tr>
      <w:tr>
        <w:tc>
          <w:tcPr>
            <w:tcW w:type="dxa" w:w="2160"/>
          </w:tcPr>
          <w:p>
            <w:r>
              <w:t>전문</w:t>
            </w:r>
          </w:p>
        </w:tc>
        <w:tc>
          <w:tcPr>
            <w:tcW w:type="dxa" w:w="2160"/>
          </w:tcPr>
          <w:p>
            <w:r>
              <w:t>전체 비구속적</w:t>
            </w:r>
          </w:p>
        </w:tc>
        <w:tc>
          <w:tcPr>
            <w:tcW w:type="dxa" w:w="2160"/>
          </w:tcPr>
          <w:p>
            <w:r>
              <w:t>비밀유지, 분쟁해결, 손해배상 조항은 즉시 구속력 부여</w:t>
            </w:r>
          </w:p>
        </w:tc>
        <w:tc>
          <w:tcPr>
            <w:tcW w:type="dxa" w:w="2160"/>
          </w:tcPr>
          <w:p>
            <w:r>
              <w:t>위험도 상: MOU 단계에서도 핵심 보호 조항은 효력 필요</w:t>
            </w:r>
          </w:p>
        </w:tc>
      </w:tr>
      <w:tr>
        <w:tc>
          <w:tcPr>
            <w:tcW w:type="dxa" w:w="2160"/>
          </w:tcPr>
          <w:p>
            <w:r>
              <w:t>제2조</w:t>
            </w:r>
          </w:p>
        </w:tc>
        <w:tc>
          <w:tcPr>
            <w:tcW w:type="dxa" w:w="2160"/>
          </w:tcPr>
          <w:p>
            <w:r>
              <w:t>대상 건물 특정 시기 불명확</w:t>
            </w:r>
          </w:p>
        </w:tc>
        <w:tc>
          <w:tcPr>
            <w:tcW w:type="dxa" w:w="2160"/>
          </w:tcPr>
          <w:p>
            <w:r>
              <w:t>30일 내 협의 개시, 60일 내 합의서 작성</w:t>
            </w:r>
          </w:p>
        </w:tc>
        <w:tc>
          <w:tcPr>
            <w:tcW w:type="dxa" w:w="2160"/>
          </w:tcPr>
          <w:p>
            <w:r>
              <w:t>위험도 상: 계약 대상 불특정으로 인한 분쟁 방지</w:t>
            </w:r>
          </w:p>
        </w:tc>
      </w:tr>
      <w:tr>
        <w:tc>
          <w:tcPr>
            <w:tcW w:type="dxa" w:w="2160"/>
          </w:tcPr>
          <w:p>
            <w:r>
              <w:t>제3조</w:t>
            </w:r>
          </w:p>
        </w:tc>
        <w:tc>
          <w:tcPr>
            <w:tcW w:type="dxa" w:w="2160"/>
          </w:tcPr>
          <w:p>
            <w:r>
              <w:t>비용 부담 주체 불명확</w:t>
            </w:r>
          </w:p>
        </w:tc>
        <w:tc>
          <w:tcPr>
            <w:tcW w:type="dxa" w:w="2160"/>
          </w:tcPr>
          <w:p>
            <w:r>
              <w:t>실비 부담 주체(갑) 및 한도(월 50만원) 명시</w:t>
            </w:r>
          </w:p>
        </w:tc>
        <w:tc>
          <w:tcPr>
            <w:tcW w:type="dxa" w:w="2160"/>
          </w:tcPr>
          <w:p>
            <w:r>
              <w:t>위험도 중: 비용 분쟁 예방</w:t>
            </w:r>
          </w:p>
        </w:tc>
      </w:tr>
      <w:tr>
        <w:tc>
          <w:tcPr>
            <w:tcW w:type="dxa" w:w="2160"/>
          </w:tcPr>
          <w:p>
            <w:r>
              <w:t>제4조</w:t>
            </w:r>
          </w:p>
        </w:tc>
        <w:tc>
          <w:tcPr>
            <w:tcW w:type="dxa" w:w="2160"/>
          </w:tcPr>
          <w:p>
            <w:r>
              <w:t>수익의 정의 및 배분 기준 없음</w:t>
            </w:r>
          </w:p>
        </w:tc>
        <w:tc>
          <w:tcPr>
            <w:tcW w:type="dxa" w:w="2160"/>
          </w:tcPr>
          <w:p>
            <w:r>
              <w:t>수익 정의 명확화, 배분 비율 기재란 추가</w:t>
            </w:r>
          </w:p>
        </w:tc>
        <w:tc>
          <w:tcPr>
            <w:tcW w:type="dxa" w:w="2160"/>
          </w:tcPr>
          <w:p>
            <w:r>
              <w:t>위험도 상: 핵심 이익 사항 불명확</w:t>
            </w:r>
          </w:p>
        </w:tc>
      </w:tr>
      <w:tr>
        <w:tc>
          <w:tcPr>
            <w:tcW w:type="dxa" w:w="2160"/>
          </w:tcPr>
          <w:p>
            <w:r>
              <w:t>제5조</w:t>
            </w:r>
          </w:p>
        </w:tc>
        <w:tc>
          <w:tcPr>
            <w:tcW w:type="dxa" w:w="2160"/>
          </w:tcPr>
          <w:p>
            <w:r>
              <w:t>유효기간 종료 시점만 규정</w:t>
            </w:r>
          </w:p>
        </w:tc>
        <w:tc>
          <w:tcPr>
            <w:tcW w:type="dxa" w:w="2160"/>
          </w:tcPr>
          <w:p>
            <w:r>
              <w:t>6개월 내 미체결 시 협의 의무 추가</w:t>
            </w:r>
          </w:p>
        </w:tc>
        <w:tc>
          <w:tcPr>
            <w:tcW w:type="dxa" w:w="2160"/>
          </w:tcPr>
          <w:p>
            <w:r>
              <w:t>위험도 중: 장기 표류 방지</w:t>
            </w:r>
          </w:p>
        </w:tc>
      </w:tr>
    </w:tbl>
    <w:p/>
    <w:p>
      <w:pPr>
        <w:pStyle w:val="Heading1"/>
      </w:pPr>
      <w:r>
        <w:t>추가된 조항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추가 조항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추가 이유</w:t>
            </w:r>
          </w:p>
        </w:tc>
      </w:tr>
      <w:tr>
        <w:tc>
          <w:tcPr>
            <w:tcW w:type="dxa" w:w="2880"/>
          </w:tcPr>
          <w:p>
            <w:r>
              <w:t>★제7조 (비밀유지)★</w:t>
            </w:r>
          </w:p>
        </w:tc>
        <w:tc>
          <w:tcPr>
            <w:tcW w:type="dxa" w:w="2880"/>
          </w:tcPr>
          <w:p>
            <w:r>
              <w:t>비밀정보 보호, 2년간 존속, 예외 사항</w:t>
            </w:r>
          </w:p>
        </w:tc>
        <w:tc>
          <w:tcPr>
            <w:tcW w:type="dxa" w:w="2880"/>
          </w:tcPr>
          <w:p>
            <w:r>
              <w:t>협상 과정 정보 유출 방지 필수</w:t>
            </w:r>
          </w:p>
        </w:tc>
      </w:tr>
      <w:tr>
        <w:tc>
          <w:tcPr>
            <w:tcW w:type="dxa" w:w="2880"/>
          </w:tcPr>
          <w:p>
            <w:r>
              <w:t>★제8조 (분쟁해결)★</w:t>
            </w:r>
          </w:p>
        </w:tc>
        <w:tc>
          <w:tcPr>
            <w:tcW w:type="dxa" w:w="2880"/>
          </w:tcPr>
          <w:p>
            <w:r>
              <w:t>협의 우선, 서울중앙지방법원 전속관할</w:t>
            </w:r>
          </w:p>
        </w:tc>
        <w:tc>
          <w:tcPr>
            <w:tcW w:type="dxa" w:w="2880"/>
          </w:tcPr>
          <w:p>
            <w:r>
              <w:t>분쟁 발생 시 해결 절차 부재 보완</w:t>
            </w:r>
          </w:p>
        </w:tc>
      </w:tr>
      <w:tr>
        <w:tc>
          <w:tcPr>
            <w:tcW w:type="dxa" w:w="2880"/>
          </w:tcPr>
          <w:p>
            <w:r>
              <w:t>★제9조 (손해배상)★</w:t>
            </w:r>
          </w:p>
        </w:tc>
        <w:tc>
          <w:tcPr>
            <w:tcW w:type="dxa" w:w="2880"/>
          </w:tcPr>
          <w:p>
            <w:r>
              <w:t>고의·중과실 위반 시 배상 책임</w:t>
            </w:r>
          </w:p>
        </w:tc>
        <w:tc>
          <w:tcPr>
            <w:tcW w:type="dxa" w:w="2880"/>
          </w:tcPr>
          <w:p>
            <w:r>
              <w:t>계약 위반에 대한 구제 수단 확보</w:t>
            </w:r>
          </w:p>
        </w:tc>
      </w:tr>
      <w:tr>
        <w:tc>
          <w:tcPr>
            <w:tcW w:type="dxa" w:w="2880"/>
          </w:tcPr>
          <w:p>
            <w:r>
              <w:t>★제10조 (협약의 종료 및 해지)★</w:t>
            </w:r>
          </w:p>
        </w:tc>
        <w:tc>
          <w:tcPr>
            <w:tcW w:type="dxa" w:w="2880"/>
          </w:tcPr>
          <w:p>
            <w:r>
              <w:t>30일 사전통지, 즉시해지 사유, 자료 반환</w:t>
            </w:r>
          </w:p>
        </w:tc>
        <w:tc>
          <w:tcPr>
            <w:tcW w:type="dxa" w:w="2880"/>
          </w:tcPr>
          <w:p>
            <w:r>
              <w:t>출구 전략 및 종료 절차 명확화</w:t>
            </w:r>
          </w:p>
        </w:tc>
      </w:tr>
      <w:tr>
        <w:tc>
          <w:tcPr>
            <w:tcW w:type="dxa" w:w="2880"/>
          </w:tcPr>
          <w:p>
            <w:r>
              <w:t>★제11조 (양도 금지)★</w:t>
            </w:r>
          </w:p>
        </w:tc>
        <w:tc>
          <w:tcPr>
            <w:tcW w:type="dxa" w:w="2880"/>
          </w:tcPr>
          <w:p>
            <w:r>
              <w:t>사전 서면 동의 없이 양도 불가</w:t>
            </w:r>
          </w:p>
        </w:tc>
        <w:tc>
          <w:tcPr>
            <w:tcW w:type="dxa" w:w="2880"/>
          </w:tcPr>
          <w:p>
            <w:r>
              <w:t>당사자 변경으로 인한 리스크 방지</w:t>
            </w:r>
          </w:p>
        </w:tc>
      </w:tr>
      <w:tr>
        <w:tc>
          <w:tcPr>
            <w:tcW w:type="dxa" w:w="2880"/>
          </w:tcPr>
          <w:p>
            <w:r>
              <w:t>★제12조 (통지)★</w:t>
            </w:r>
          </w:p>
        </w:tc>
        <w:tc>
          <w:tcPr>
            <w:tcW w:type="dxa" w:w="2880"/>
          </w:tcPr>
          <w:p>
            <w:r>
              <w:t>서면 통지 원칙, 도달주의</w:t>
            </w:r>
          </w:p>
        </w:tc>
        <w:tc>
          <w:tcPr>
            <w:tcW w:type="dxa" w:w="2880"/>
          </w:tcPr>
          <w:p>
            <w:r>
              <w:t>의사소통 분쟁 예방</w:t>
            </w:r>
          </w:p>
        </w:tc>
      </w:tr>
    </w:tbl>
    <w:p/>
    <w:p>
      <w:pPr>
        <w:pStyle w:val="Heading2"/>
      </w:pPr>
      <w:r>
        <w:t>참고사항</w:t>
      </w:r>
    </w:p>
    <w:p>
      <w:r>
        <w:t>정식 계약 체결 시 아래 사항을 반드시 확정하시기 바랍니다:</w:t>
      </w:r>
    </w:p>
    <w:p>
      <w:r>
        <w:t>1. 제2조 ②항의 대상 건물 특정 (주소, 면적, 등기사항)</w:t>
      </w:r>
    </w:p>
    <w:p>
      <w:r>
        <w:t>2. 제4조 ②항의 수익 배분 비율 (갑 ___%, 을 ___%로 공란 기재)</w:t>
      </w:r>
    </w:p>
    <w:p>
      <w:r>
        <w:t>3. 제12조 ②항의 각 당사자 통지 수령 주소 및 이메일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