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Real-World Asset Protocol v4.1: Proof of Value Addendum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&amp; Strategy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addendum outlines the frontend architecture and user onboarding strategy for the Real-World Asset (RWA) Protocol version 4.1. The primary objective is to build a frictionless, high-conversion frontend that completely abstracts blockchain complexities from the end user. By adopting proven Web2 user experience (UX) design patterns from market leaders like Turo, Airbnb, Etsy, and Carvana, users can buy, sell, or rent fractionalized and whole physical assets on an immutable ledger without needing to understand underlying crypto infrastructure.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UI/UX Ecosystem &amp; Reference Models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maximize market penetration, the platform's user interface layout avoids traditional web3 paradigms (such as explicit wallet connection prompts) and mirrors successful web2 marketplaces: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High-Value Assets &amp; Rentals (The Turo/Airbnb Blueprint):</w:t>
      </w:r>
      <w:r w:rsidDel="00000000" w:rsidR="00000000" w:rsidRPr="00000000">
        <w:rPr>
          <w:rtl w:val="0"/>
        </w:rPr>
        <w:t xml:space="preserve"> Incorporates guided step-by-step verification wizards, secure scheduling calendars, and multi-angle photo onboarding flows to maintain trust and legal compliance for assets like vehicles.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Micro-Assets &amp; Low-Value Listings (The Etsy/Facebook Marketplace Blueprint):</w:t>
      </w:r>
      <w:r w:rsidDel="00000000" w:rsidR="00000000" w:rsidRPr="00000000">
        <w:rPr>
          <w:rtl w:val="0"/>
        </w:rPr>
        <w:t xml:space="preserve"> Prioritizes an ultra-low-friction listing flow consisting of a photo, title, category, and price tagging to keep micro-transactions effortless for casual users.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Just-in-Time Compliance &amp; Identity Verification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protocol implements a tiered friction model to ensure compliance with federal laws (including KYC/AML regulations) without stalling initial user acquisition:</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Micro-Tier:</w:t>
      </w:r>
      <w:r w:rsidDel="00000000" w:rsidR="00000000" w:rsidRPr="00000000">
        <w:rPr>
          <w:rtl w:val="0"/>
        </w:rPr>
        <w:t xml:space="preserve"> Zero upfront identity verification required for low-value browsing, basic token transfers, or sub-$25 micro-transactions.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High-Value / Rental Tier:</w:t>
      </w:r>
      <w:r w:rsidDel="00000000" w:rsidR="00000000" w:rsidRPr="00000000">
        <w:rPr>
          <w:rtl w:val="0"/>
        </w:rPr>
        <w:t xml:space="preserve"> A gated authentication barrier is dynamically triggered the moment a user attempts to list or rent a vehicle or execute high-volume sales.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Trust Mechanics:</w:t>
      </w:r>
      <w:r w:rsidDel="00000000" w:rsidR="00000000" w:rsidRPr="00000000">
        <w:rPr>
          <w:rtl w:val="0"/>
        </w:rPr>
        <w:t xml:space="preserve"> Successfully completed identity checks are represented in the frontend UI via a "Trusted Seller/Renter" badge, establishing immediately visible peer-to-peer trust.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Decentralized Identity (DID) Architecture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maximum security and isolate the platform backend from the liabilities of storing Personally Identifiable Information (PII), the protocol utilizes a W3C-compliant Decentralized Identity framework:</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Reusable KYC:</w:t>
      </w:r>
      <w:r w:rsidDel="00000000" w:rsidR="00000000" w:rsidRPr="00000000">
        <w:rPr>
          <w:rtl w:val="0"/>
        </w:rPr>
        <w:t xml:space="preserve"> Regulated, third-party identity verification networks process the initial documentation and issue a cryptographically signed Verifiable Credential (VC) to the user's private storage.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Zero-Knowledge Proofs (ZKP):</w:t>
      </w:r>
      <w:r w:rsidDel="00000000" w:rsidR="00000000" w:rsidRPr="00000000">
        <w:rPr>
          <w:rtl w:val="0"/>
        </w:rPr>
        <w:t xml:space="preserve"> The frontend verifies the validity of the cryptographic signature at the moment of a transaction (e.g., checking that a renter is over 21 and cleared of sanctions) without ingesting or storing raw personal data.</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Liability &amp; Compliance Auditing:</w:t>
      </w:r>
      <w:r w:rsidDel="00000000" w:rsidR="00000000" w:rsidRPr="00000000">
        <w:rPr>
          <w:rtl w:val="0"/>
        </w:rPr>
        <w:t xml:space="preserve"> Legally shifts data breach and identity verification liability away from the protocol while preserving absolute cryptographic auditability for regulatory reviews.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