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Asset (RWA) Proof-of-Value (PoV) Specification v4.1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Version History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Version 3.0</w:t>
      </w:r>
      <w:r w:rsidDel="00000000" w:rsidR="00000000" w:rsidRPr="00000000">
        <w:rPr>
          <w:rtl w:val="0"/>
        </w:rPr>
        <w:t xml:space="preserve">: Foundation of Custodian Entity Specification, MPA Binding, HSM Requirements, and Validator API v3.</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Version 4.1 (Current)</w:t>
      </w:r>
      <w:r w:rsidDel="00000000" w:rsidR="00000000" w:rsidRPr="00000000">
        <w:rPr>
          <w:rtl w:val="0"/>
        </w:rPr>
        <w:t xml:space="preserve">: Multi-jurisdictional Series LLC / Trust integration, automated eUTXO state transitions, enhanced Validator API v4 endpoints, NFG Reputation ledger v4, and legal exit protocols.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Executive Summary &amp; Core Ledger Protocol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Proof-of-Value (PoV) Protocol Version 4.1</w:t>
      </w:r>
      <w:r w:rsidDel="00000000" w:rsidR="00000000" w:rsidRPr="00000000">
        <w:rPr>
          <w:rtl w:val="0"/>
        </w:rPr>
        <w:t xml:space="preserve"> establishes a legally binding, cryptographically verifiable bridge between physical, off-chain assets ("Jurisdictional Assets") and the </w:t>
      </w:r>
      <w:r w:rsidDel="00000000" w:rsidR="00000000" w:rsidRPr="00000000">
        <w:rPr>
          <w:b w:val="1"/>
          <w:bCs w:val="1"/>
          <w:rtl w:val="0"/>
        </w:rPr>
        <w:t xml:space="preserve">Cardano Extended UTXO (eUTXO)</w:t>
      </w:r>
      <w:r w:rsidDel="00000000" w:rsidR="00000000" w:rsidRPr="00000000">
        <w:rPr>
          <w:rtl w:val="0"/>
        </w:rPr>
        <w:t xml:space="preserve"> ledger.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version 4.1, the </w:t>
      </w:r>
      <w:r w:rsidDel="00000000" w:rsidR="00000000" w:rsidRPr="00000000">
        <w:rPr>
          <w:b w:val="1"/>
          <w:bCs w:val="1"/>
          <w:rtl w:val="0"/>
        </w:rPr>
        <w:t xml:space="preserve">Asset NFT</w:t>
      </w:r>
      <w:r w:rsidDel="00000000" w:rsidR="00000000" w:rsidRPr="00000000">
        <w:rPr>
          <w:rtl w:val="0"/>
        </w:rPr>
        <w:t xml:space="preserve"> serves as the immutable, on-chain </w:t>
      </w:r>
      <w:r w:rsidDel="00000000" w:rsidR="00000000" w:rsidRPr="00000000">
        <w:rPr>
          <w:b w:val="1"/>
          <w:bCs w:val="1"/>
          <w:rtl w:val="0"/>
        </w:rPr>
        <w:t xml:space="preserve">Registry of Title</w:t>
      </w:r>
      <w:r w:rsidDel="00000000" w:rsidR="00000000" w:rsidRPr="00000000">
        <w:rPr>
          <w:rtl w:val="0"/>
        </w:rPr>
        <w:t xml:space="preserve">, recognized directly by the governing </w:t>
      </w:r>
      <w:r w:rsidDel="00000000" w:rsidR="00000000" w:rsidRPr="00000000">
        <w:rPr>
          <w:b w:val="1"/>
          <w:bCs w:val="1"/>
          <w:rtl w:val="0"/>
        </w:rPr>
        <w:t xml:space="preserve">Master Participation Agreement (MPA)</w:t>
      </w:r>
      <w:r w:rsidDel="00000000" w:rsidR="00000000" w:rsidRPr="00000000">
        <w:rPr>
          <w:rtl w:val="0"/>
        </w:rPr>
        <w:t xml:space="preserve"> and enforced through custodial smart contract validators.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PoV PROTOCOL v4.1                                |</w:t>
        <w:br w:type="textWrapping"/>
        <w:t xml:space="preserve">+-----------------------------------------------------------------------------------+</w:t>
        <w:br w:type="textWrapping"/>
        <w:t xml:space="preserve">|  [ Physical Asset ] &lt;---&gt; [ Custodian HSM / Series LLC ] &lt;---&gt; [ MPA (IPFS URI) ] |</w:t>
        <w:br w:type="textWrapping"/>
        <w:t xml:space="preserve">|                                       |                                           |</w:t>
        <w:br w:type="textWrapping"/>
        <w:t xml:space="preserve">|                                       v                                           |</w:t>
        <w:br w:type="textWrapping"/>
        <w:t xml:space="preserve">|                   [ Cardano eUTXO Ledger (Asset NFT + AUs) ]                     |</w:t>
        <w:br w:type="textWrapping"/>
        <w:t xml:space="preserve">|                                       |                                           |</w:t>
        <w:br w:type="textWrapping"/>
        <w:t xml:space="preserve">|                                       v                                           |</w:t>
        <w:br w:type="textWrapping"/>
        <w:t xml:space="preserve">|                    [ Validator API v4 / NFG Challenge Engine ]                   |</w:t>
        <w:br w:type="textWrapping"/>
        <w:t xml:space="preserve">+-----------------------------------------------------------------------------------+</w:t>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Custodian Entity &amp; Legal Governance Specification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Entity Architecture (Series LLC / Statutory Trust)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Custodian acts as the legal personified agent of the PoV Protocol. The Custodian holds legal title to physical assets in trust or within dedicated protected cells (e.g., Delaware or Wyoming Series LLC / Special Purpose Vehicles).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Fiduciary and Administrative Duty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Duty Type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Legal Instrument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Cryptographic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Title 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property in a "clean" state free of unauthorized liens, encumbrances, or unrecorded claims.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Bylaws / Trust Deed / Operating Agreement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On-chain status attestation signed by Custodian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Programmatic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physical title transfers, asset splits, or distributions upon verified on-chain state triggers.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Participation Agreement (MPA v4.1)</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eUTXO Multi-Sig Validator + HSM Signature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&amp; Tax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 required tax filings, annual jurisdiction proofs, and institutional audit reports.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Audit / Tax Filings / Regulatory Disclosure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IPFS Proof-of-Status Hash published to Validator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Privatization &amp; Exit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 physical redemption and legal title handover upon Asset NFT retirement.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&amp; Liquidation Protocol Deed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HSM Key Sign-off + On-Chain NFT Burning</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Master Participation Agreement (MPA v4.1) Binding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MPA v4.1 is a </w:t>
      </w:r>
      <w:r w:rsidDel="00000000" w:rsidR="00000000" w:rsidRPr="00000000">
        <w:rPr>
          <w:b w:val="1"/>
          <w:bCs w:val="1"/>
          <w:rtl w:val="0"/>
        </w:rPr>
        <w:t xml:space="preserve">Smart-Contract-Compliant Legal Instrument</w:t>
      </w:r>
      <w:r w:rsidDel="00000000" w:rsidR="00000000" w:rsidRPr="00000000">
        <w:rPr>
          <w:rtl w:val="0"/>
        </w:rPr>
        <w:t xml:space="preserve">. The metadata URI embedded inside the Cardano Asset NFT datum </w:t>
      </w:r>
      <w:r w:rsidDel="00000000" w:rsidR="00000000" w:rsidRPr="00000000">
        <w:rPr>
          <w:b w:val="1"/>
          <w:bCs w:val="1"/>
          <w:rtl w:val="0"/>
        </w:rPr>
        <w:t xml:space="preserve">MUST</w:t>
      </w:r>
      <w:r w:rsidDel="00000000" w:rsidR="00000000" w:rsidRPr="00000000">
        <w:rPr>
          <w:rtl w:val="0"/>
        </w:rPr>
        <w:t xml:space="preserve"> resolve to an IPFS-hosted canonical document containing:</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Jurisdictional Clause</w:t>
      </w:r>
      <w:r w:rsidDel="00000000" w:rsidR="00000000" w:rsidRPr="00000000">
        <w:rPr>
          <w:rtl w:val="0"/>
        </w:rPr>
        <w:t xml:space="preserve">: Explicitly specifying the governing jurisdiction (e.g., State of Delaware / State of Wyoming) and dispute resolution forum.</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Oracle Mandate</w:t>
      </w:r>
      <w:r w:rsidDel="00000000" w:rsidR="00000000" w:rsidRPr="00000000">
        <w:rPr>
          <w:rtl w:val="0"/>
        </w:rPr>
        <w:t xml:space="preserve">: Binding the Custodian entity to act upon Proof-of-Value Verification (PVR) signals generated by the registered decentralized Oracle set.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Exit &amp; Redemption Protocol</w:t>
      </w:r>
      <w:r w:rsidDel="00000000" w:rsidR="00000000" w:rsidRPr="00000000">
        <w:rPr>
          <w:rtl w:val="0"/>
        </w:rPr>
        <w:t xml:space="preserve">: Automating legal title transfer sequences upon permanent retirement or burning of the Asset NFT on-chain.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Custodian Cryptographic Hardware Security Requirement (HSM)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Custodian MUST operate a production-grade </w:t>
      </w:r>
      <w:r w:rsidDel="00000000" w:rsidR="00000000" w:rsidRPr="00000000">
        <w:rPr>
          <w:b w:val="1"/>
          <w:bCs w:val="1"/>
          <w:rtl w:val="0"/>
        </w:rPr>
        <w:t xml:space="preserve">Hardware Security Module (HSM)</w:t>
      </w:r>
      <w:r w:rsidDel="00000000" w:rsidR="00000000" w:rsidRPr="00000000">
        <w:rPr>
          <w:rtl w:val="0"/>
        </w:rPr>
        <w:t xml:space="preserve"> compliant with FIPS 140-3 Level 3 (or equivalent) to manage private keys: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Privatization Event Key</w:t>
      </w:r>
      <w:r w:rsidDel="00000000" w:rsidR="00000000" w:rsidRPr="00000000">
        <w:rPr>
          <w:rtl w:val="0"/>
        </w:rPr>
        <w:t xml:space="preserve">: Required to co-sign any transaction that permanently burns or retires an active Asset NFT.</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Enforcement Prevention</w:t>
      </w:r>
      <w:r w:rsidDel="00000000" w:rsidR="00000000" w:rsidRPr="00000000">
        <w:rPr>
          <w:rtl w:val="0"/>
        </w:rPr>
        <w:t xml:space="preserve">: On-chain validator scripts reject retirement transactions missing a valid HSM cryptographic signature, guaranteeing that digital token burning cannot occur without formal legal title transfer.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Engineering Rationale: Jurisdictional Finality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enforcing an unbroken, programmatic mapping between off-chain legal title and eUTXO Datum states, PoV v4.1 achieves </w:t>
      </w:r>
      <w:r w:rsidDel="00000000" w:rsidR="00000000" w:rsidRPr="00000000">
        <w:rPr>
          <w:b w:val="1"/>
          <w:bCs w:val="1"/>
          <w:rtl w:val="0"/>
        </w:rPr>
        <w:t xml:space="preserve">Jurisdictional Finality</w:t>
      </w:r>
      <w:r w:rsidDel="00000000" w:rsidR="00000000" w:rsidRPr="00000000">
        <w:rPr>
          <w:rtl w:val="0"/>
        </w:rPr>
        <w:t xml:space="preserv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holders possessing Asset Units (AUs) can establish enforceable legal rights in a court of law.</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Holding AUs legally entitles the bearer to pro-rata revenue shares and asset proceeds under the MPA v4.1.</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Prevents double-hypothecation or off-chain asset alienation without corresponding on-chain state changes.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Validator API Specification v4.1 (Public Auditing &amp; Governance Gateway)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Overview</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Validator API v4</w:t>
      </w:r>
      <w:r w:rsidDel="00000000" w:rsidR="00000000" w:rsidRPr="00000000">
        <w:rPr>
          <w:rtl w:val="0"/>
        </w:rPr>
        <w:t xml:space="preserve"> acts as the interface for public auditing, transparency, and adversarial governance via the challenge submission circuit breaker.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Audit &amp; Transparency Endpoints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 Rate Limit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/v4/audit/evidence/{hash}</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Retrieves raw PVR verification evidence, IPFS pointers, and metadata proofs.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(Public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/v4/audit/status/{asset_id}</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real-time asset lifecycle state (Active, Suspended, In-Challenge, Exit).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(Public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/v4/governance/proposals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Fetches active NFG (Non-Fungible Governance) proposals and voting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(Authenticated)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/v4/challenge/submit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Adversarial circuit breaker to submit challenge against invalid evidence or collusion.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Restricted (Bond &amp; Reputation Required)</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Adversarial Challenge Submission Schema (/v4/challenge/submit)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"$schema": "[https://json-schema.org/draft/2020-12/schema](https://json-schema.org/draft/2020-12/schema)",</w:t>
        <w:br w:type="textWrapping"/>
        <w:t xml:space="preserve">  "title": "ChallengeSubmissionPayloadV4",</w:t>
        <w:br w:type="textWrapping"/>
        <w:t xml:space="preserve">  "type": "object",</w:t>
        <w:br w:type="textWrapping"/>
        <w:t xml:space="preserve">  "properties": {</w:t>
        <w:br w:type="textWrapping"/>
        <w:t xml:space="preserve">    "AssetID": {</w:t>
        <w:br w:type="textWrapping"/>
        <w:t xml:space="preserve">      "type": "string",</w:t>
        <w:br w:type="textWrapping"/>
        <w:t xml:space="preserve">      "format": "uuid",</w:t>
        <w:br w:type="textWrapping"/>
        <w:t xml:space="preserve">      "description": "Unique identifier of the targeted RWA asset."</w:t>
        <w:br w:type="textWrapping"/>
        <w:t xml:space="preserve">    },</w:t>
        <w:br w:type="textWrapping"/>
        <w:t xml:space="preserve">    "PVR_ID": {</w:t>
        <w:br w:type="textWrapping"/>
        <w:t xml:space="preserve">      "type": "string",</w:t>
        <w:br w:type="textWrapping"/>
        <w:t xml:space="preserve">      "format": "uuid",</w:t>
        <w:br w:type="textWrapping"/>
        <w:t xml:space="preserve">      "description": "Proof-of-Value Record UUID being challenged."</w:t>
        <w:br w:type="textWrapping"/>
        <w:t xml:space="preserve">    },</w:t>
        <w:br w:type="textWrapping"/>
        <w:t xml:space="preserve">    "ChallengerWallet": {</w:t>
        <w:br w:type="textWrapping"/>
        <w:t xml:space="preserve">      "type": "string",</w:t>
        <w:br w:type="textWrapping"/>
        <w:t xml:space="preserve">      "pattern": "^addr1[a-z0-9]+$",</w:t>
        <w:br w:type="textWrapping"/>
        <w:t xml:space="preserve">      "description": "Cardano wallet address of the challenger."</w:t>
        <w:br w:type="textWrapping"/>
        <w:t xml:space="preserve">    },</w:t>
        <w:br w:type="textWrapping"/>
        <w:t xml:space="preserve">    "BondAmount": {</w:t>
        <w:br w:type="textWrapping"/>
        <w:t xml:space="preserve">      "type": "string",</w:t>
        <w:br w:type="textWrapping"/>
        <w:t xml:space="preserve">      "example": "5000_ADA",</w:t>
        <w:br w:type="textWrapping"/>
        <w:t xml:space="preserve">      "description": "Escrowed bond amount locked into the Cardano challenge validator."</w:t>
        <w:br w:type="textWrapping"/>
        <w:t xml:space="preserve">    },</w:t>
        <w:br w:type="textWrapping"/>
        <w:t xml:space="preserve">    "ChallengeReason": {</w:t>
        <w:br w:type="textWrapping"/>
        <w:t xml:space="preserve">      "type": "string",</w:t>
        <w:br w:type="textWrapping"/>
        <w:t xml:space="preserve">      "enum": [</w:t>
        <w:br w:type="textWrapping"/>
        <w:t xml:space="preserve">        "ENUM_COLLUSION_OR_INVALID_EVIDENCE",</w:t>
        <w:br w:type="textWrapping"/>
        <w:t xml:space="preserve">        "ENUM_CUSTODIAN_BREACH",</w:t>
        <w:br w:type="textWrapping"/>
        <w:t xml:space="preserve">        "ENUM_ORACLE_MALFUNCTION",</w:t>
        <w:br w:type="textWrapping"/>
        <w:t xml:space="preserve">        "ENUM_TITLE_DEFECT"</w:t>
        <w:br w:type="textWrapping"/>
        <w:t xml:space="preserve">      ]</w:t>
        <w:br w:type="textWrapping"/>
        <w:t xml:space="preserve">    },</w:t>
        <w:br w:type="textWrapping"/>
        <w:t xml:space="preserve">    "EvidenceIPFSHash": {</w:t>
        <w:br w:type="textWrapping"/>
        <w:t xml:space="preserve">      "type": "string",</w:t>
        <w:br w:type="textWrapping"/>
        <w:t xml:space="preserve">      "pattern": "^Qm[1-9A-HJ-NP-Za-km-z]{44}$\vert{}^bafy[a-z0-9]{55}$"</w:t>
        <w:br w:type="textWrapping"/>
        <w:t xml:space="preserve">    }</w:t>
        <w:br w:type="textWrapping"/>
        <w:t xml:space="preserve">  },</w:t>
        <w:br w:type="textWrapping"/>
        <w:t xml:space="preserve">  "required": ["AssetID", "PVR_ID", "ChallengerWallet", "BondAmount", "ChallengeReason", "EvidenceIPFSHash"]</w:t>
        <w:br w:type="textWrapping"/>
        <w:t xml:space="preserve">}</w:t>
        <w:br w:type="textWrapping"/>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NFG Reputation Ledger Integration &amp; Adaptive Throttling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Validator API v4 integrates with the NFG (Non-Fungible Governance) reputation ledger. API requests and challenge permissions are rate-limited dynamically according to the user's NFG Reputation Score (R):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&lt; 100 \implies 5\text{ requests / min (Throttled Tier)} 100 \le R &lt; 500 \implies 50\text{ requests / min (Standard Tier)} R \ge 500 \implies 300\text{ requests / min (Institutional Tier / Direct Challenge Eligibility)}</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Instructions for Google AI Studio / Playground Testing</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 this entire Markdown file as the </w:t>
      </w:r>
      <w:r w:rsidDel="00000000" w:rsidR="00000000" w:rsidRPr="00000000">
        <w:rPr>
          <w:b w:val="1"/>
          <w:bCs w:val="1"/>
          <w:rtl w:val="0"/>
        </w:rPr>
        <w:t xml:space="preserve">System Prompt</w:t>
      </w:r>
      <w:r w:rsidDel="00000000" w:rsidR="00000000" w:rsidRPr="00000000">
        <w:rPr>
          <w:rtl w:val="0"/>
        </w:rPr>
        <w:t xml:space="preserve"> or </w:t>
      </w:r>
      <w:r w:rsidDel="00000000" w:rsidR="00000000" w:rsidRPr="00000000">
        <w:rPr>
          <w:b w:val="1"/>
          <w:bCs w:val="1"/>
          <w:rtl w:val="0"/>
        </w:rPr>
        <w:t xml:space="preserve">Context Document</w:t>
      </w:r>
      <w:r w:rsidDel="00000000" w:rsidR="00000000" w:rsidRPr="00000000">
        <w:rPr>
          <w:rtl w:val="0"/>
        </w:rPr>
        <w:t xml:space="preserve"> in Google AI Studio.</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Example prompts to test model compliance against the specification:</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"Validate whether a proposed transaction retiring Asset ID f81d4fae-7dec-11d0-a765-00a0c91e6bf6 meets the v4.1 HSM signature requirement."</w:t>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"Generate a Plutus v3 datum structure representing an active asset under Delaware Series LLC governance with MPA URI ipfs://bafybeic..."</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"Simulate an adversarial challenge payload submission for ENUM_CUSTODIAN_BREACH and evaluate NFG score threshold requirements."</w:t>
      </w:r>
      <w:r w:rsidDel="00000000" w:rsidR="00000000" w:rsidRPr="00000000">
        <w:rPr>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open("RWA_PoV_Specification_v4.1_Legal.md", "w") as f: f.write(md_content)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print("SUCCESS: File RWA_PoV_Specification_v4.1_Legal.md generated.")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Your Markdown file is ready</w:t>
        <w:br w:type="textWrapping"/>
        <w:t xml:space="preserve">[file-tag: code-generated-file-0-1784286414873601648]</w:t>
        <w:br w:type="textWrapping"/>
        <w:br w:type="textWrapping"/>
        <w:t xml:space="preserve">---</w:t>
        <w:br w:type="textWrapping"/>
        <w:br w:type="textWrapping"/>
        <w:t xml:space="preserve">### Overview of RWA PoV Specification v4.1 (with Legal)</w:t>
        <w:br w:type="textWrapping"/>
        <w:br w:type="textWrapping"/>
        <w:t xml:space="preserve">The Markdown document (**`RWA_PoV_Specification_v4.1_Legal.md`**) has been formatted for loading into **Google AI Studio / Google Playground** as a System Prompt or Context Document.</w:t>
        <w:br w:type="textWrapping"/>
        <w:br w:type="textWrapping"/>
        <w:t xml:space="preserve">#### Key Highlights &amp; Additions in Version 4.1:</w:t>
        <w:br w:type="textWrapping"/>
        <w:br w:type="textWrapping"/>
        <w:t xml:space="preserve">1. **System Prompt &amp; Playground Config Header**:</w:t>
        <w:br w:type="textWrapping"/>
        <w:t xml:space="preserve">   - Pre-configured YAML block setting up role, parameters, eUTXO target ledger, and legal frameworks for prompt testing.</w:t>
        <w:br w:type="textWrapping"/>
        <w:br w:type="textWrapping"/>
        <w:t xml:space="preserve">2. **Legal &amp; Custodial Architecture (Series LLC / Statutory Trust)**:</w:t>
        <w:br w:type="textWrapping"/>
        <w:t xml:space="preserve">   - **Jurisdictional Binding**: Formally maps Cardano eUTXO Asset NFTs to Delaware / Wyoming Series LLC special purpose vehicles.</w:t>
        <w:br w:type="textWrapping"/>
        <w:t xml:space="preserve">   - **Fiduciary vs. Administrative Duty Matrix**: Specifies legal instruments and cryptographic mechanisms for title maintenance, regulatory reporting, and exit protocols.</w:t>
        <w:br w:type="textWrapping"/>
        <w:t xml:space="preserve">   - **Master Participation Agreement (MPA v4.1)**: IPFS URI metadata resolution enforcement, Oracle mandates, and legal exit protocols.</w:t>
        <w:br w:type="textWrapping"/>
        <w:t xml:space="preserve">   - **Hardware Security Module (HSM) Cryptography**: Requirement for FIPS 140-3 Level 3 HSM signatures for asset retirement and privatization events.</w:t>
        <w:br w:type="textWrapping"/>
        <w:br w:type="textWrapping"/>
        <w:t xml:space="preserve">3. **Jurisdictional Finality**:</w:t>
        <w:br w:type="textWrapping"/>
        <w:t xml:space="preserve">   - Formal proof framework enabling court-enforceable rights for Asset Unit (AU) holders.</w:t>
        <w:br w:type="textWrapping"/>
        <w:br w:type="textWrapping"/>
        <w:t xml:space="preserve">4. **Validator API v4 &amp; Adversarial Governance**:</w:t>
        <w:br w:type="textWrapping"/>
        <w:t xml:space="preserve">   - **Endpoints**: Updated endpoints (`/v4/audit/evidence/{hash}`, `/v4/audit/status/{asset_id}`, `/v4/governance/proposals`, `/v4/challenge/submit`).</w:t>
        <w:br w:type="textWrapping"/>
        <w:t xml:space="preserve">   - **JSON Schema**: Formal payload specification for `/v4/challenge/submit` featuring enums for challenge reasons (`ENUM_CUSTODIAN_BREACH`, `ENUM_COLLUSION_OR_INVALID_EVIDENCE`, etc.).</w:t>
        <w:br w:type="textWrapping"/>
        <w:t xml:space="preserve">   - **NFG Reputation Ledger**: Mathematical rate-limiting tiers ($R &lt; 100$, $100 \le R &lt; 500$, $R \ge 500$).</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