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MATHGPL Mathematical Rendering Standard</w:t>
      </w:r>
    </w:p>
    <w:p>
      <w:r>
        <w:br/>
        <w:t>PURPOSE</w:t>
        <w:br/>
        <w:br/>
        <w:t>This document defines how mathematics should appear when displayed to teachers and students.</w:t>
        <w:br/>
        <w:br/>
        <w:t>Teachers should never see:</w:t>
        <w:br/>
        <w:t>• Programming syntax</w:t>
        <w:br/>
        <w:t>• LaTeX syntax</w:t>
        <w:br/>
        <w:t>• Markdown syntax</w:t>
        <w:br/>
        <w:t>• Mathematical source code</w:t>
        <w:br/>
        <w:t>• Rendering instructions</w:t>
        <w:br/>
        <w:br/>
        <w:t>Teachers should only see properly formatted mathematics.</w:t>
        <w:br/>
        <w:br/>
        <w:t>RULE 1 – NEVER DISPLAY SOURCE CODE</w:t>
        <w:br/>
        <w:br/>
        <w:t>Any mathematical source code detected in visible output must be converted before display.</w:t>
        <w:br/>
        <w:br/>
        <w:t>FRACTION STRUCTURES</w:t>
        <w:br/>
        <w:br/>
        <w:t>Forbidden: \frac{a}{b}, \dfrac{a}{b}, \tfrac{a}{b}</w:t>
        <w:br/>
        <w:t>Display As: Proper rendered fractions.</w:t>
        <w:br/>
        <w:br/>
        <w:t>ROOT STRUCTURES</w:t>
        <w:br/>
        <w:br/>
        <w:t>Forbidden: \sqrt{x}, \sqrt{x+5}, \sqrt[3]{x}</w:t>
        <w:br/>
        <w:t>Display As: √x, √(x+5), ³√x</w:t>
        <w:br/>
        <w:br/>
        <w:t>POWER STRUCTURES</w:t>
        <w:br/>
        <w:br/>
        <w:t>Forbidden: x^{2}, x^{10}, (x+1)^{3}</w:t>
        <w:br/>
        <w:t>Display As: x², x¹⁰, (x+1)³</w:t>
        <w:br/>
        <w:br/>
        <w:t>SUBSCRIPT STRUCTURES</w:t>
        <w:br/>
        <w:br/>
        <w:t>Forbidden: x_{1}, a_{n}</w:t>
        <w:br/>
        <w:t>Display As: x₁, aₙ</w:t>
        <w:br/>
        <w:br/>
        <w:t>MATRIX STRUCTURES</w:t>
        <w:br/>
        <w:br/>
        <w:t>Convert matrix, pmatrix, bmatrix and vmatrix source code into visual matrices before display.</w:t>
        <w:br/>
        <w:br/>
        <w:t>VECTOR STRUCTURES</w:t>
        <w:br/>
        <w:br/>
        <w:t>Forbidden: \vec{AB}, \overrightarrow{AB}</w:t>
        <w:br/>
        <w:t>Display As: →AB</w:t>
        <w:br/>
        <w:br/>
        <w:t>SUMMATION STRUCTURES</w:t>
        <w:br/>
        <w:br/>
        <w:t>Forbidden: \sum_{i=1}^{n}</w:t>
        <w:br/>
        <w:t>Display As: Visual sigma notation.</w:t>
        <w:br/>
        <w:br/>
        <w:t>PRODUCT STRUCTURES</w:t>
        <w:br/>
        <w:br/>
        <w:t>Forbidden: \prod_{i=1}^{n}</w:t>
        <w:br/>
        <w:t>Display As: Visual product notation.</w:t>
        <w:br/>
        <w:br/>
        <w:t>INTEGRATION STRUCTURES</w:t>
        <w:br/>
        <w:br/>
        <w:t>Forbidden: \int expressions in source-code form.</w:t>
        <w:br/>
        <w:t>Display As: Properly rendered integrals.</w:t>
        <w:br/>
        <w:br/>
        <w:t>LIMIT STRUCTURES</w:t>
        <w:br/>
        <w:br/>
        <w:t>Forbidden: \lim_{x→0}</w:t>
        <w:br/>
        <w:t>Display As: Properly rendered limits.</w:t>
        <w:br/>
        <w:br/>
        <w:t>LOGARITHM STRUCTURES</w:t>
        <w:br/>
        <w:br/>
        <w:t>Forbidden: \log_{2}(8), \ln(x)</w:t>
        <w:br/>
        <w:t>Display As: log₂(8), ln(x)</w:t>
        <w:br/>
        <w:br/>
        <w:t>TRIGONOMETRIC STRUCTURES</w:t>
        <w:br/>
        <w:br/>
        <w:t>Forbidden: \sin(x), \cos(x), \tan(x)</w:t>
        <w:br/>
        <w:t>Display As: sin(x), cos(x), tan(x)</w:t>
        <w:br/>
        <w:br/>
        <w:t>GREEK SYMBOLS</w:t>
        <w:br/>
        <w:br/>
        <w:t>Convert:</w:t>
        <w:br/>
        <w:t>\alpha → α</w:t>
        <w:br/>
        <w:t>\beta → β</w:t>
        <w:br/>
        <w:t>\theta → θ</w:t>
        <w:br/>
        <w:t>\pi → π</w:t>
        <w:br/>
        <w:t>\sigma → σ</w:t>
        <w:br/>
        <w:br/>
        <w:t>SET STRUCTURES</w:t>
        <w:br/>
        <w:br/>
        <w:t>Convert:</w:t>
        <w:br/>
        <w:t>\in → ∈</w:t>
        <w:br/>
        <w:t>\notin → ∉</w:t>
        <w:br/>
        <w:t>\subset → ⊂</w:t>
        <w:br/>
        <w:t>\subseteq → ⊆</w:t>
        <w:br/>
        <w:t>\cup → ∪</w:t>
        <w:br/>
        <w:t>\cap → ∩</w:t>
        <w:br/>
        <w:br/>
        <w:t>PROBABILITY STRUCTURES</w:t>
        <w:br/>
        <w:br/>
        <w:t>Convert:</w:t>
        <w:br/>
        <w:t>P(A \cap B) → P(A ∩ B)</w:t>
        <w:br/>
        <w:t>P(A \cup B) → P(A ∪ B)</w:t>
        <w:br/>
        <w:br/>
        <w:t>COMMON LATEX COMMANDS</w:t>
        <w:br/>
        <w:br/>
        <w:t>\left → remove</w:t>
        <w:br/>
        <w:t>\right → remove</w:t>
        <w:br/>
        <w:t>\quad → space</w:t>
        <w:br/>
        <w:t>\qquad → space</w:t>
        <w:br/>
        <w:br/>
        <w:t>MATRIX FORMATTING RULE</w:t>
        <w:br/>
        <w:br/>
        <w:t>If any lesson contains matrix, pmatrix, bmatrix or vmatrix source code, the AI must convert it into a visual matrix before display.</w:t>
        <w:br/>
        <w:br/>
        <w:t>FINAL VALIDATION QUESTION</w:t>
        <w:br/>
        <w:br/>
        <w:t>Before displaying any lesson, smartboard content, worksheet, example, classwork, homework, assessment, solution or floating-number output, ask:</w:t>
        <w:br/>
        <w:br/>
        <w:t>“Can a teacher see any mathematical source code?”</w:t>
        <w:br/>
        <w:br/>
        <w:t>If YES:</w:t>
        <w:br/>
        <w:t>STOP.</w:t>
        <w:br/>
        <w:t>Convert it.</w:t>
        <w:br/>
        <w:t>Check again.</w:t>
        <w:br/>
        <w:t>Repeat until the answer is NO.</w:t>
        <w:br/>
        <w:br/>
        <w:t>Only then may the content be displayed.</w:t>
        <w:br/>
        <w:br/>
        <w:t>This document serves as the MathGPL Stage 4 Rendering Dictionary and must be consulted before mathematical content reaches the screen.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