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Broadband Contracts, Introductory Pricing, Equipment &amp; Exit Costs</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spacing w:after="60" w:line="247" w:lineRule="auto"/>
      </w:pPr>
      <w:r>
        <w:rPr>
          <w:rFonts w:ascii="Arial" w:hAnsi="Arial"/>
          <w:b/>
          <w:color w:val="0F5A3A"/>
          <w:sz w:val="17"/>
        </w:rPr>
        <w:t xml:space="preserve">Purpose. </w:t>
      </w:r>
      <w:r>
        <w:rPr>
          <w:rFonts w:ascii="Arial" w:hAnsi="Arial"/>
          <w:color w:val="31453A"/>
          <w:sz w:val="17"/>
        </w:rPr>
        <w:t>This guide helps households compare the real cost of a broadband offer before signing. It separates the eye-catching monthly headline from the full contract cost: introductory pricing, later pricing, mandatory fees, equipment, installation, data charges, bundles, exit costs and return obligations. Snapshot: 20 October 2026.</w:t>
      </w:r>
    </w:p>
    <w:tbl>
      <w:tblPr>
        <w:tblW w:type="auto" w:w="0"/>
        <w:jc w:val="center"/>
        <w:tblLook w:firstColumn="1" w:firstRow="1" w:lastColumn="0" w:lastRow="0" w:noHBand="0" w:noVBand="1" w:val="04A0"/>
      </w:tblPr>
      <w:tblGrid>
        <w:gridCol w:w="15710"/>
      </w:tblGrid>
      <w:tr>
        <w:tc>
          <w:tcPr>
            <w:tcW w:type="dxa" w:w="15710"/>
            <w:shd w:fill="FFF5E4"/>
            <w:tcMar>
              <w:top w:w="85" w:type="dxa"/>
              <w:start w:w="105" w:type="dxa"/>
              <w:bottom w:w="85" w:type="dxa"/>
              <w:end w:w="105" w:type="dxa"/>
            </w:tcMar>
          </w:tcPr>
          <w:p>
            <w:pPr>
              <w:spacing w:after="0"/>
            </w:pPr>
            <w:r/>
            <w:r>
              <w:rPr>
                <w:rFonts w:ascii="Arial" w:hAnsi="Arial"/>
                <w:b/>
                <w:color w:val="0F5A3A"/>
                <w:sz w:val="16"/>
              </w:rPr>
              <w:t xml:space="preserve">ONOCRA rule: </w:t>
            </w:r>
            <w:r>
              <w:rPr>
                <w:rFonts w:ascii="Arial" w:hAnsi="Arial"/>
                <w:color w:val="31453A"/>
                <w:sz w:val="16"/>
              </w:rPr>
              <w:t>Never compare broadband plans on the first-month price alone. Compare what the household is committed to pay over the period it expects to keep the service, using the exact written offer and current provider terms.</w:t>
            </w:r>
          </w:p>
        </w:tc>
      </w:tr>
    </w:tbl>
    <w:p>
      <w:pPr>
        <w:pStyle w:val="Heading2"/>
        <w:spacing w:before="80" w:after="40"/>
      </w:pPr>
      <w:r>
        <w:t>The broadband cost stack</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Cost layer</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What it means</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What ONOCRA records</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Advertised monthly price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The headline rate shown in marketing. It may be introductory, conditional or exclude optional extras.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Record the exact amount and whether it changes.</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Post-intro / scheduled price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The amount after a promotion ends or after a stated in-contract increase.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Record the date and the new amount.</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Recurring provider fees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Gateway/router rental, support package or other recurring charges where applicable.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Separate mandatory from optional.</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One-time charges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Activation, installation, shipping, engineer visit, connection or equipment purchase.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Do not hide these inside “first bill”.</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Data-related charges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Overage charges, top-ups, throttling/priority rules or higher-tier cost where relevant.</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Especially important for some FWA/satellite plans.</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Bundle effects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Discounts tied to mobile, TV, voice, autopay or another service.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Record what happens if one bundle element is removed.</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Exit / switching costs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Early termination charge, outstanding equipment amount, non-return fee or new-provider setup.</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Check before deciding a “cheap” offer is cheap.</w:t>
            </w:r>
          </w:p>
        </w:tc>
      </w:tr>
    </w:tbl>
    <w:p>
      <w:pPr>
        <w:pStyle w:val="Heading2"/>
        <w:spacing w:before="80" w:after="40"/>
      </w:pPr>
      <w:r>
        <w:t>Five numbers to write down before comparing</w:t>
      </w:r>
    </w:p>
    <w:p>
      <w:pPr>
        <w:spacing w:after="20" w:line="240" w:lineRule="auto"/>
        <w:ind w:left="216" w:hanging="173"/>
      </w:pPr>
      <w:r>
        <w:rPr>
          <w:color w:val="D99A42"/>
          <w:sz w:val="18"/>
        </w:rPr>
        <w:t xml:space="preserve">• </w:t>
      </w:r>
      <w:r>
        <w:rPr>
          <w:rFonts w:ascii="Arial" w:hAnsi="Arial"/>
          <w:color w:val="31453A"/>
          <w:sz w:val="16"/>
        </w:rPr>
        <w:t>Price today</w:t>
      </w:r>
    </w:p>
    <w:p>
      <w:pPr>
        <w:spacing w:after="20" w:line="240" w:lineRule="auto"/>
        <w:ind w:left="216" w:hanging="173"/>
      </w:pPr>
      <w:r>
        <w:rPr>
          <w:color w:val="D99A42"/>
          <w:sz w:val="18"/>
        </w:rPr>
        <w:t xml:space="preserve">• </w:t>
      </w:r>
      <w:r>
        <w:rPr>
          <w:rFonts w:ascii="Arial" w:hAnsi="Arial"/>
          <w:color w:val="31453A"/>
          <w:sz w:val="16"/>
        </w:rPr>
        <w:t>Price after every known change</w:t>
      </w:r>
    </w:p>
    <w:p>
      <w:pPr>
        <w:spacing w:after="20" w:line="240" w:lineRule="auto"/>
        <w:ind w:left="216" w:hanging="173"/>
      </w:pPr>
      <w:r>
        <w:rPr>
          <w:color w:val="D99A42"/>
          <w:sz w:val="18"/>
        </w:rPr>
        <w:t xml:space="preserve">• </w:t>
      </w:r>
      <w:r>
        <w:rPr>
          <w:rFonts w:ascii="Arial" w:hAnsi="Arial"/>
          <w:color w:val="31453A"/>
          <w:sz w:val="16"/>
        </w:rPr>
        <w:t>Mandatory recurring charges</w:t>
      </w:r>
    </w:p>
    <w:p>
      <w:pPr>
        <w:spacing w:after="20" w:line="240" w:lineRule="auto"/>
        <w:ind w:left="216" w:hanging="173"/>
      </w:pPr>
      <w:r>
        <w:rPr>
          <w:color w:val="D99A42"/>
          <w:sz w:val="18"/>
        </w:rPr>
        <w:t xml:space="preserve">• </w:t>
      </w:r>
      <w:r>
        <w:rPr>
          <w:rFonts w:ascii="Arial" w:hAnsi="Arial"/>
          <w:color w:val="31453A"/>
          <w:sz w:val="16"/>
        </w:rPr>
        <w:t>One-time setup/equipment charges</w:t>
      </w:r>
    </w:p>
    <w:p>
      <w:pPr>
        <w:spacing w:after="20" w:line="240" w:lineRule="auto"/>
        <w:ind w:left="216" w:hanging="173"/>
      </w:pPr>
      <w:r>
        <w:rPr>
          <w:color w:val="D99A42"/>
          <w:sz w:val="18"/>
        </w:rPr>
        <w:t xml:space="preserve">• </w:t>
      </w:r>
      <w:r>
        <w:rPr>
          <w:rFonts w:ascii="Arial" w:hAnsi="Arial"/>
          <w:color w:val="31453A"/>
          <w:sz w:val="16"/>
        </w:rPr>
        <w:t>Maximum known cost of leaving during the minimum term</w:t>
      </w:r>
    </w:p>
    <w:p>
      <w:pPr>
        <w:pStyle w:val="ONOCRASmall"/>
        <w:spacing w:before="40" w:after="0"/>
      </w:pPr>
      <w:r>
        <w:t>ONOCRA · Independent, evidence-first technology guidance for households</w:t>
      </w:r>
      <w:r>
        <w:t xml:space="preserve">                        Page 1</w:t>
      </w:r>
    </w:p>
    <w:p>
      <w:r>
        <w:br w:type="page"/>
      </w:r>
    </w:p>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1 · Calculate the cost you will actually pay</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pStyle w:val="Heading2"/>
        <w:spacing w:before="80" w:after="40"/>
      </w:pPr>
      <w:r>
        <w:t>Use a term-cost worksheet, not a sticker price</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Worksheet line</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How to calculate</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Evidence rule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A. Introductory period</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Monthly price × number of promotional months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Use the written promotion duration, not memory or sales shorthand.</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B. Remaining minimum term</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Later monthly price × remaining committed months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Include any scheduled in-contract price changes that are already specified.</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 Mandatory recurring add-ons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Required equipment/service fees × months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Exclude genuinely optional extras from the core-plan comparison.</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D. One-time charges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Activation + installation + shipping + connection + purchased equipment</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Use the final order summary if available.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 Usage-dependent charges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Only include when realistically expected; otherwise show separately as risk</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Examples: data overage, priority-data top-ups or international voice.</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F. Credits / discounts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Subtract only discounts for which the household actually qualifies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Note expiry conditions and autopay/paperless requirements.</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G. Exit exposure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Show separately; do not add it to normal term cost unless early exit is likely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Record formula or provider quotation rather than inventing a figure.</w:t>
            </w:r>
          </w:p>
        </w:tc>
      </w:tr>
    </w:tbl>
    <w:tbl>
      <w:tblPr>
        <w:tblW w:type="auto" w:w="0"/>
        <w:jc w:val="center"/>
        <w:tblLook w:firstColumn="1" w:firstRow="1" w:lastColumn="0" w:lastRow="0" w:noHBand="0" w:noVBand="1" w:val="04A0"/>
      </w:tblPr>
      <w:tblGrid>
        <w:gridCol w:w="15710"/>
      </w:tblGrid>
      <w:tr>
        <w:tc>
          <w:tcPr>
            <w:tcW w:type="dxa" w:w="15710"/>
            <w:shd w:fill="FFF5E4"/>
            <w:tcMar>
              <w:top w:w="85" w:type="dxa"/>
              <w:start w:w="105" w:type="dxa"/>
              <w:bottom w:w="85" w:type="dxa"/>
              <w:end w:w="105" w:type="dxa"/>
            </w:tcMar>
          </w:tcPr>
          <w:p>
            <w:pPr>
              <w:spacing w:after="0"/>
            </w:pPr>
            <w:r/>
            <w:r>
              <w:rPr>
                <w:rFonts w:ascii="Arial" w:hAnsi="Arial"/>
                <w:b/>
                <w:color w:val="0F5A3A"/>
                <w:sz w:val="16"/>
              </w:rPr>
              <w:t xml:space="preserve">Simple comparison formula: </w:t>
            </w:r>
            <w:r>
              <w:rPr>
                <w:rFonts w:ascii="Arial" w:hAnsi="Arial"/>
                <w:color w:val="31453A"/>
                <w:sz w:val="16"/>
              </w:rPr>
              <w:t>Expected service cost = known monthly charges over the intended holding period + mandatory one-time charges + expected usage charges − confirmed discounts. Keep possible early-exit liability as a separate risk field.</w:t>
            </w:r>
          </w:p>
        </w:tc>
      </w:tr>
    </w:tbl>
    <w:p>
      <w:pPr>
        <w:pStyle w:val="Heading2"/>
        <w:spacing w:before="80" w:after="40"/>
      </w:pPr>
      <w:r>
        <w:t>Do not mix these three different prices</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Price</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Meaning</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Common mistake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Promotional / introductory price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Temporary amount for a defined period.</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Comparing it with another provider’s regular price.</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Regular or post-intro price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The price after the promotion, subject to the contract’s stated terms.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Failing to model the months after the promotion.</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Effective household cost</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What this household will actually pay after mandatory fees, equipment and qualified discounts.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Assuming every advertised discount applies automatically.</w:t>
            </w:r>
          </w:p>
        </w:tc>
      </w:tr>
    </w:tbl>
    <w:p>
      <w:pPr>
        <w:pStyle w:val="Heading2"/>
        <w:spacing w:before="80" w:after="40"/>
      </w:pPr>
      <w:r>
        <w:t>Evidence to save</w:t>
      </w:r>
    </w:p>
    <w:p>
      <w:pPr>
        <w:spacing w:after="20" w:line="240" w:lineRule="auto"/>
        <w:ind w:left="216" w:hanging="173"/>
      </w:pPr>
      <w:r>
        <w:rPr>
          <w:color w:val="D99A42"/>
          <w:sz w:val="18"/>
        </w:rPr>
        <w:t xml:space="preserve">• </w:t>
      </w:r>
      <w:r>
        <w:rPr>
          <w:rFonts w:ascii="Arial" w:hAnsi="Arial"/>
          <w:color w:val="31453A"/>
          <w:sz w:val="16"/>
        </w:rPr>
        <w:t>Screenshot/PDF of the plan page and checkout summary with date.</w:t>
      </w:r>
    </w:p>
    <w:p>
      <w:pPr>
        <w:spacing w:after="20" w:line="240" w:lineRule="auto"/>
        <w:ind w:left="216" w:hanging="173"/>
      </w:pPr>
      <w:r>
        <w:rPr>
          <w:color w:val="D99A42"/>
          <w:sz w:val="18"/>
        </w:rPr>
        <w:t xml:space="preserve">• </w:t>
      </w:r>
      <w:r>
        <w:rPr>
          <w:rFonts w:ascii="Arial" w:hAnsi="Arial"/>
          <w:color w:val="31453A"/>
          <w:sz w:val="16"/>
        </w:rPr>
        <w:t>Contract summary or Broadband Consumer Label / product information sheet where applicable.</w:t>
      </w:r>
    </w:p>
    <w:p>
      <w:pPr>
        <w:spacing w:after="20" w:line="240" w:lineRule="auto"/>
        <w:ind w:left="216" w:hanging="173"/>
      </w:pPr>
      <w:r>
        <w:rPr>
          <w:color w:val="D99A42"/>
          <w:sz w:val="18"/>
        </w:rPr>
        <w:t xml:space="preserve">• </w:t>
      </w:r>
      <w:r>
        <w:rPr>
          <w:rFonts w:ascii="Arial" w:hAnsi="Arial"/>
          <w:color w:val="31453A"/>
          <w:sz w:val="16"/>
        </w:rPr>
        <w:t>Equipment terms: rental vs purchase, return deadline and replacement responsibility.</w:t>
      </w:r>
    </w:p>
    <w:p>
      <w:pPr>
        <w:spacing w:after="20" w:line="240" w:lineRule="auto"/>
        <w:ind w:left="216" w:hanging="173"/>
      </w:pPr>
      <w:r>
        <w:rPr>
          <w:color w:val="D99A42"/>
          <w:sz w:val="18"/>
        </w:rPr>
        <w:t xml:space="preserve">• </w:t>
      </w:r>
      <w:r>
        <w:rPr>
          <w:rFonts w:ascii="Arial" w:hAnsi="Arial"/>
          <w:color w:val="31453A"/>
          <w:sz w:val="16"/>
        </w:rPr>
        <w:t>Any written sales-chat or email confirming a special discount, installation waiver or price guarantee.</w:t>
      </w:r>
    </w:p>
    <w:p>
      <w:pPr>
        <w:pStyle w:val="ONOCRASmall"/>
        <w:spacing w:before="40" w:after="0"/>
      </w:pPr>
      <w:r>
        <w:t>ONOCRA · Independent, evidence-first technology guidance for households</w:t>
      </w:r>
      <w:r>
        <w:t xml:space="preserve">                        Page 2</w:t>
      </w:r>
    </w:p>
    <w:p>
      <w:r>
        <w:br w:type="page"/>
      </w:r>
    </w:p>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2 · Country rules and consumer evidence — US / UK / Germany</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spacing w:after="60" w:line="247" w:lineRule="auto"/>
      </w:pPr>
      <w:r>
        <w:rPr>
          <w:rFonts w:ascii="Arial" w:hAnsi="Arial"/>
          <w:color w:val="31453A"/>
          <w:sz w:val="17"/>
        </w:rPr>
        <w:t>These are regulatory baselines, not a substitute for the provider’s current contract. ONOCRA should always show the observation date and link to the official source.</w:t>
      </w:r>
    </w:p>
    <w:tbl>
      <w:tblPr>
        <w:tblW w:type="auto" w:w="0"/>
        <w:jc w:val="center"/>
        <w:tblLayout w:type="autofit"/>
        <w:tblLook w:firstColumn="1" w:firstRow="1" w:lastColumn="0" w:lastRow="0" w:noHBand="0" w:noVBand="1" w:val="04A0"/>
      </w:tblPr>
      <w:tblGrid>
        <w:gridCol w:w="3927"/>
        <w:gridCol w:w="3927"/>
        <w:gridCol w:w="3927"/>
        <w:gridCol w:w="3927"/>
      </w:tblGrid>
      <w:tr>
        <w:trPr>
          <w:tblHeader w:val="true"/>
        </w:trPr>
        <w:tc>
          <w:tcPr>
            <w:tcW w:type="dxa" w:w="3927"/>
            <w:shd w:fill="0F5A3A"/>
            <w:vAlign w:val="center"/>
            <w:tcMar>
              <w:top w:w="55" w:type="dxa"/>
              <w:start w:w="70" w:type="dxa"/>
              <w:bottom w:w="55" w:type="dxa"/>
              <w:end w:w="70" w:type="dxa"/>
            </w:tcMar>
          </w:tcPr>
          <w:p>
            <w:pPr>
              <w:spacing w:before="0" w:after="0"/>
            </w:pPr>
            <w:r/>
            <w:r>
              <w:rPr>
                <w:rFonts w:ascii="Arial" w:hAnsi="Arial"/>
                <w:b/>
                <w:color w:val="FFFFFF"/>
                <w:sz w:val="14"/>
              </w:rPr>
              <w:t>Market</w:t>
            </w:r>
          </w:p>
        </w:tc>
        <w:tc>
          <w:tcPr>
            <w:tcW w:type="dxa" w:w="3927"/>
            <w:shd w:fill="0F5A3A"/>
            <w:vAlign w:val="center"/>
            <w:tcMar>
              <w:top w:w="55" w:type="dxa"/>
              <w:start w:w="70" w:type="dxa"/>
              <w:bottom w:w="55" w:type="dxa"/>
              <w:end w:w="70" w:type="dxa"/>
            </w:tcMar>
          </w:tcPr>
          <w:p>
            <w:pPr>
              <w:spacing w:before="0" w:after="0"/>
            </w:pPr>
            <w:r/>
            <w:r>
              <w:rPr>
                <w:rFonts w:ascii="Arial" w:hAnsi="Arial"/>
                <w:b/>
                <w:color w:val="FFFFFF"/>
                <w:sz w:val="14"/>
              </w:rPr>
              <w:t>What the consumer should see</w:t>
            </w:r>
          </w:p>
        </w:tc>
        <w:tc>
          <w:tcPr>
            <w:tcW w:type="dxa" w:w="3927"/>
            <w:shd w:fill="0F5A3A"/>
            <w:vAlign w:val="center"/>
            <w:tcMar>
              <w:top w:w="55" w:type="dxa"/>
              <w:start w:w="70" w:type="dxa"/>
              <w:bottom w:w="55" w:type="dxa"/>
              <w:end w:w="70" w:type="dxa"/>
            </w:tcMar>
          </w:tcPr>
          <w:p>
            <w:pPr>
              <w:spacing w:before="0" w:after="0"/>
            </w:pPr>
            <w:r/>
            <w:r>
              <w:rPr>
                <w:rFonts w:ascii="Arial" w:hAnsi="Arial"/>
                <w:b/>
                <w:color w:val="FFFFFF"/>
                <w:sz w:val="14"/>
              </w:rPr>
              <w:t>ONOCRA interpretation</w:t>
            </w:r>
          </w:p>
        </w:tc>
        <w:tc>
          <w:tcPr>
            <w:tcW w:type="dxa" w:w="3927"/>
            <w:shd w:fill="0F5A3A"/>
            <w:vAlign w:val="center"/>
            <w:tcMar>
              <w:top w:w="55" w:type="dxa"/>
              <w:start w:w="70" w:type="dxa"/>
              <w:bottom w:w="55" w:type="dxa"/>
              <w:end w:w="70" w:type="dxa"/>
            </w:tcMar>
          </w:tcPr>
          <w:p>
            <w:pPr>
              <w:spacing w:before="0" w:after="0"/>
            </w:pPr>
            <w:r/>
            <w:r>
              <w:rPr>
                <w:rFonts w:ascii="Arial" w:hAnsi="Arial"/>
                <w:b/>
                <w:color w:val="FFFFFF"/>
                <w:sz w:val="14"/>
              </w:rPr>
              <w:t>Best evidence</w:t>
            </w:r>
          </w:p>
        </w:tc>
      </w:tr>
      <w:tr>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United States</w:t>
            </w:r>
          </w:p>
        </w:tc>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Use the FCC Broadband Consumer Label for the exact plan. Current label fields are designed to disclose the monthly price, introductory rate/duration where applicable, later price, additional charges/terms, data allowance, performance and early-termination information where applicable.</w:t>
            </w:r>
          </w:p>
        </w:tc>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There is no single ONOCRA assumption for contract length, equipment rental or exit fee. Read the provider’s label and order terms for the address and plan.</w:t>
            </w:r>
          </w:p>
        </w:tc>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FCC Broadband Consumer Label + provider checkout/terms.</w:t>
            </w:r>
          </w:p>
        </w:tc>
      </w:tr>
      <w:tr>
        <w:tc>
          <w:tcPr>
            <w:tcW w:type="dxa" w:w="3927"/>
            <w:shd w:fill="F5F8F5"/>
            <w:vAlign w:val="center"/>
            <w:tcMar>
              <w:top w:w="55" w:type="dxa"/>
              <w:start w:w="70" w:type="dxa"/>
              <w:bottom w:w="55" w:type="dxa"/>
              <w:end w:w="70" w:type="dxa"/>
            </w:tcMar>
          </w:tcPr>
          <w:p>
            <w:pPr>
              <w:spacing w:before="0" w:after="0"/>
            </w:pPr>
            <w:r/>
            <w:r>
              <w:rPr>
                <w:rFonts w:ascii="Arial" w:hAnsi="Arial"/>
                <w:b w:val="0"/>
                <w:color w:val="31453A"/>
                <w:sz w:val="13"/>
              </w:rPr>
              <w:t>United Kingdom</w:t>
            </w:r>
          </w:p>
        </w:tc>
        <w:tc>
          <w:tcPr>
            <w:tcW w:type="dxa" w:w="3927"/>
            <w:shd w:fill="F5F8F5"/>
            <w:vAlign w:val="center"/>
            <w:tcMar>
              <w:top w:w="55" w:type="dxa"/>
              <w:start w:w="70" w:type="dxa"/>
              <w:bottom w:w="55" w:type="dxa"/>
              <w:end w:w="70" w:type="dxa"/>
            </w:tcMar>
          </w:tcPr>
          <w:p>
            <w:pPr>
              <w:spacing w:before="0" w:after="0"/>
            </w:pPr>
            <w:r/>
            <w:r>
              <w:rPr>
                <w:rFonts w:ascii="Arial" w:hAnsi="Arial"/>
                <w:b w:val="0"/>
                <w:color w:val="31453A"/>
                <w:sz w:val="13"/>
              </w:rPr>
              <w:t>For new contracts, any specified in-contract price rises must be stated clearly in pounds and pence; inflation-linked or percentage-formula rises are banned for new contracts from 17 Jan 2025. Residential/small-business service commitment periods should not exceed 24 months, and providers must offer a contract option no longer than 12 months for each service.</w:t>
            </w:r>
          </w:p>
        </w:tc>
        <w:tc>
          <w:tcPr>
            <w:tcW w:type="dxa" w:w="3927"/>
            <w:shd w:fill="F5F8F5"/>
            <w:vAlign w:val="center"/>
            <w:tcMar>
              <w:top w:w="55" w:type="dxa"/>
              <w:start w:w="70" w:type="dxa"/>
              <w:bottom w:w="55" w:type="dxa"/>
              <w:end w:w="70" w:type="dxa"/>
            </w:tcMar>
          </w:tcPr>
          <w:p>
            <w:pPr>
              <w:spacing w:before="0" w:after="0"/>
            </w:pPr>
            <w:r/>
            <w:r>
              <w:rPr>
                <w:rFonts w:ascii="Arial" w:hAnsi="Arial"/>
                <w:b w:val="0"/>
                <w:color w:val="31453A"/>
                <w:sz w:val="13"/>
              </w:rPr>
              <w:t>If a provider raises a price beyond what was agreed, Ofcom rules can provide a penalty-free exit right. A rise already clearly specified at sign-up is different. End-of-contract notifications also show when the commitment ends and what happens to the price.</w:t>
            </w:r>
          </w:p>
        </w:tc>
        <w:tc>
          <w:tcPr>
            <w:tcW w:type="dxa" w:w="3927"/>
            <w:shd w:fill="F5F8F5"/>
            <w:vAlign w:val="center"/>
            <w:tcMar>
              <w:top w:w="55" w:type="dxa"/>
              <w:start w:w="70" w:type="dxa"/>
              <w:bottom w:w="55" w:type="dxa"/>
              <w:end w:w="70" w:type="dxa"/>
            </w:tcMar>
          </w:tcPr>
          <w:p>
            <w:pPr>
              <w:spacing w:before="0" w:after="0"/>
            </w:pPr>
            <w:r/>
            <w:r>
              <w:rPr>
                <w:rFonts w:ascii="Arial" w:hAnsi="Arial"/>
                <w:b w:val="0"/>
                <w:color w:val="31453A"/>
                <w:sz w:val="13"/>
              </w:rPr>
              <w:t>Ofcom contract summary / provider order summary / end-of-contract notice.</w:t>
            </w:r>
          </w:p>
        </w:tc>
      </w:tr>
      <w:tr>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Germany</w:t>
            </w:r>
          </w:p>
        </w:tc>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Before contract conclusion, the provider must supply a clear contract summary; product information sheets disclose key performance and contract information. Initial consumer contract term may not exceed 24 months, and a maximum-12-month option must also be offered. After the minimum term, an automatically extended contract can be cancelled with one month’s notice.</w:t>
            </w:r>
          </w:p>
        </w:tc>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Check the exact product sheet, monthly cost, term, renewal/cancellation conditions and any equipment arrangement. Germany also protects consumer router choice, but technical compatibility and provider-specific voice features still matter.</w:t>
            </w:r>
          </w:p>
        </w:tc>
        <w:tc>
          <w:tcPr>
            <w:tcW w:type="dxa" w:w="3927"/>
            <w:shd w:fill="FFFFFF"/>
            <w:vAlign w:val="center"/>
            <w:tcMar>
              <w:top w:w="55" w:type="dxa"/>
              <w:start w:w="70" w:type="dxa"/>
              <w:bottom w:w="55" w:type="dxa"/>
              <w:end w:w="70" w:type="dxa"/>
            </w:tcMar>
          </w:tcPr>
          <w:p>
            <w:pPr>
              <w:spacing w:before="0" w:after="0"/>
            </w:pPr>
            <w:r/>
            <w:r>
              <w:rPr>
                <w:rFonts w:ascii="Arial" w:hAnsi="Arial"/>
                <w:b w:val="0"/>
                <w:color w:val="31453A"/>
                <w:sz w:val="13"/>
              </w:rPr>
              <w:t>Bundesnetzagentur contract summary + Produktinformationsblatt + provider order terms.</w:t>
            </w:r>
          </w:p>
        </w:tc>
      </w:tr>
    </w:tbl>
    <w:p>
      <w:pPr>
        <w:pStyle w:val="Heading2"/>
        <w:spacing w:before="80" w:after="40"/>
      </w:pPr>
      <w:r>
        <w:t>Important distinction: regulation does not make every offer comparable</w:t>
      </w:r>
    </w:p>
    <w:p>
      <w:pPr>
        <w:spacing w:after="20" w:line="240" w:lineRule="auto"/>
        <w:ind w:left="216" w:hanging="173"/>
      </w:pPr>
      <w:r>
        <w:rPr>
          <w:color w:val="D99A42"/>
          <w:sz w:val="18"/>
        </w:rPr>
        <w:t xml:space="preserve">• </w:t>
      </w:r>
      <w:r>
        <w:rPr>
          <w:rFonts w:ascii="Arial" w:hAnsi="Arial"/>
          <w:color w:val="31453A"/>
          <w:sz w:val="16"/>
        </w:rPr>
        <w:t>A regulator may require disclosure, but providers can still package plans differently.</w:t>
      </w:r>
    </w:p>
    <w:p>
      <w:pPr>
        <w:spacing w:after="20" w:line="240" w:lineRule="auto"/>
        <w:ind w:left="216" w:hanging="173"/>
      </w:pPr>
      <w:r>
        <w:rPr>
          <w:color w:val="D99A42"/>
          <w:sz w:val="18"/>
        </w:rPr>
        <w:t xml:space="preserve">• </w:t>
      </w:r>
      <w:r>
        <w:rPr>
          <w:rFonts w:ascii="Arial" w:hAnsi="Arial"/>
          <w:color w:val="31453A"/>
          <w:sz w:val="16"/>
        </w:rPr>
        <w:t>A “free router” may be loaned equipment that must be returned.</w:t>
      </w:r>
    </w:p>
    <w:p>
      <w:pPr>
        <w:spacing w:after="20" w:line="240" w:lineRule="auto"/>
        <w:ind w:left="216" w:hanging="173"/>
      </w:pPr>
      <w:r>
        <w:rPr>
          <w:color w:val="D99A42"/>
          <w:sz w:val="18"/>
        </w:rPr>
        <w:t xml:space="preserve">• </w:t>
      </w:r>
      <w:r>
        <w:rPr>
          <w:rFonts w:ascii="Arial" w:hAnsi="Arial"/>
          <w:color w:val="31453A"/>
          <w:sz w:val="16"/>
        </w:rPr>
        <w:t>A bundle discount can disappear when mobile, TV or phone service is removed.</w:t>
      </w:r>
    </w:p>
    <w:p>
      <w:pPr>
        <w:spacing w:after="20" w:line="240" w:lineRule="auto"/>
        <w:ind w:left="216" w:hanging="173"/>
      </w:pPr>
      <w:r>
        <w:rPr>
          <w:color w:val="D99A42"/>
          <w:sz w:val="18"/>
        </w:rPr>
        <w:t xml:space="preserve">• </w:t>
      </w:r>
      <w:r>
        <w:rPr>
          <w:rFonts w:ascii="Arial" w:hAnsi="Arial"/>
          <w:color w:val="31453A"/>
          <w:sz w:val="16"/>
        </w:rPr>
        <w:t>Taxes and location-dependent charges can differ; use the checkout result for the actual service address.</w:t>
      </w:r>
    </w:p>
    <w:p>
      <w:pPr>
        <w:pStyle w:val="ONOCRASmall"/>
        <w:spacing w:before="40" w:after="0"/>
      </w:pPr>
      <w:r>
        <w:t>ONOCRA · Independent, evidence-first technology guidance for households</w:t>
      </w:r>
      <w:r>
        <w:t xml:space="preserve">                        Page 3</w:t>
      </w:r>
    </w:p>
    <w:p>
      <w:r>
        <w:br w:type="page"/>
      </w:r>
    </w:p>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3 · Equipment: rental, purchase, own-router use and return obligations</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pStyle w:val="Heading2"/>
        <w:spacing w:before="80" w:after="40"/>
      </w:pPr>
      <w:r>
        <w:t>Treat equipment as part of the service economics</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Equipment</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Common commercial arrangement</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What to verify</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ISP gateway / router</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Included, loaned, rented or sold? Is a recurring fee mandatory?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Who owns it, who replaces it, software-update support, return requirement.</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Cable modem</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Provider-supplied or customer-owned may be possible in some markets/providers.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Exact approved model/hardware revision and DOCSIS generation; voice service can complicate replacement.</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Fibre ONT</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Usually part of the access installation rather than a normal retail router.</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Do not assume it can be replaced by the customer; identify the handoff and router requirements.</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FWA gateway / outdoor CPE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Often tied to the provider/service address and may be provider property.</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Return obligations, relocation rules, external-install ownership and damage responsibility.</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Satellite terminal</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May be purchased, rented or otherwise supplied depending on provider/plan.</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Terminal ownership, mounting accessories, replacement, portability and return/refund terms.</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Mesh / extenders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May be an optional monthly add-on or separate retail purchase.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Compare long-run rental against purchase; verify whether cancellation requires returning every node.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Power backup / adapters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Usually separate from the broadband price.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Do not describe “internet resilience” without identifying which powered devices still need electricity.</w:t>
            </w:r>
          </w:p>
        </w:tc>
      </w:tr>
    </w:tbl>
    <w:p>
      <w:pPr>
        <w:pStyle w:val="Heading2"/>
        <w:spacing w:before="80" w:after="40"/>
      </w:pPr>
      <w:r>
        <w:t>Own equipment can save money — but compatibility comes first</w:t>
      </w:r>
    </w:p>
    <w:p>
      <w:pPr>
        <w:spacing w:after="60" w:line="247" w:lineRule="auto"/>
      </w:pPr>
      <w:r>
        <w:rPr>
          <w:rFonts w:ascii="Arial" w:hAnsi="Arial"/>
          <w:color w:val="31453A"/>
          <w:sz w:val="17"/>
        </w:rPr>
        <w:t>A customer-owned router or modem can reduce recurring equipment cost in some situations, but ONOCRA should never recommend it solely from the rental saving. Check authentication, bridge/passthrough support, telephone/VoIP, IPTV, security updates, approved-modem lists, 2.5/10 GbE needs and provider support boundaries.</w:t>
      </w:r>
    </w:p>
    <w:tbl>
      <w:tblPr>
        <w:tblW w:type="auto" w:w="0"/>
        <w:jc w:val="center"/>
        <w:tblLook w:firstColumn="1" w:firstRow="1" w:lastColumn="0" w:lastRow="0" w:noHBand="0" w:noVBand="1" w:val="04A0"/>
      </w:tblPr>
      <w:tblGrid>
        <w:gridCol w:w="15710"/>
      </w:tblGrid>
      <w:tr>
        <w:tc>
          <w:tcPr>
            <w:tcW w:type="dxa" w:w="15710"/>
            <w:shd w:fill="EDF5F4"/>
            <w:tcMar>
              <w:top w:w="85" w:type="dxa"/>
              <w:start w:w="105" w:type="dxa"/>
              <w:bottom w:w="85" w:type="dxa"/>
              <w:end w:w="105" w:type="dxa"/>
            </w:tcMar>
          </w:tcPr>
          <w:p>
            <w:pPr>
              <w:spacing w:after="0"/>
            </w:pPr>
            <w:r/>
            <w:r>
              <w:rPr>
                <w:rFonts w:ascii="Arial" w:hAnsi="Arial"/>
                <w:b/>
                <w:color w:val="0F5A3A"/>
                <w:sz w:val="16"/>
              </w:rPr>
              <w:t xml:space="preserve">Germany note: </w:t>
            </w:r>
            <w:r>
              <w:rPr>
                <w:rFonts w:ascii="Arial" w:hAnsi="Arial"/>
                <w:color w:val="31453A"/>
                <w:sz w:val="16"/>
              </w:rPr>
              <w:t>Bundesnetzagentur states that consumers may connect a router of their choice. This does not mean every retail device supports every DSL, cable, fibre, voice or provider configuration; technical compatibility still has to be checked.</w:t>
            </w:r>
          </w:p>
        </w:tc>
      </w:tr>
    </w:tbl>
    <w:p>
      <w:pPr>
        <w:pStyle w:val="Heading2"/>
        <w:spacing w:before="80" w:after="40"/>
      </w:pPr>
      <w:r>
        <w:t>Return checklist</w:t>
      </w:r>
    </w:p>
    <w:p>
      <w:pPr>
        <w:spacing w:after="20" w:line="240" w:lineRule="auto"/>
        <w:ind w:left="216" w:hanging="173"/>
      </w:pPr>
      <w:r>
        <w:rPr>
          <w:color w:val="D99A42"/>
          <w:sz w:val="18"/>
        </w:rPr>
        <w:t xml:space="preserve">• </w:t>
      </w:r>
      <w:r>
        <w:rPr>
          <w:rFonts w:ascii="Arial" w:hAnsi="Arial"/>
          <w:color w:val="31453A"/>
          <w:sz w:val="16"/>
        </w:rPr>
        <w:t>Which items remain provider property?</w:t>
      </w:r>
    </w:p>
    <w:p>
      <w:pPr>
        <w:spacing w:after="20" w:line="240" w:lineRule="auto"/>
        <w:ind w:left="216" w:hanging="173"/>
      </w:pPr>
      <w:r>
        <w:rPr>
          <w:color w:val="D99A42"/>
          <w:sz w:val="18"/>
        </w:rPr>
        <w:t xml:space="preserve">• </w:t>
      </w:r>
      <w:r>
        <w:rPr>
          <w:rFonts w:ascii="Arial" w:hAnsi="Arial"/>
          <w:color w:val="31453A"/>
          <w:sz w:val="16"/>
        </w:rPr>
        <w:t>Return deadline and approved return method.</w:t>
      </w:r>
    </w:p>
    <w:p>
      <w:pPr>
        <w:spacing w:after="20" w:line="240" w:lineRule="auto"/>
        <w:ind w:left="216" w:hanging="173"/>
      </w:pPr>
      <w:r>
        <w:rPr>
          <w:color w:val="D99A42"/>
          <w:sz w:val="18"/>
        </w:rPr>
        <w:t xml:space="preserve">• </w:t>
      </w:r>
      <w:r>
        <w:rPr>
          <w:rFonts w:ascii="Arial" w:hAnsi="Arial"/>
          <w:color w:val="31453A"/>
          <w:sz w:val="16"/>
        </w:rPr>
        <w:t>Serial numbers / accessories / power supplies that must be returned.</w:t>
      </w:r>
    </w:p>
    <w:p>
      <w:pPr>
        <w:spacing w:after="20" w:line="240" w:lineRule="auto"/>
        <w:ind w:left="216" w:hanging="173"/>
      </w:pPr>
      <w:r>
        <w:rPr>
          <w:color w:val="D99A42"/>
          <w:sz w:val="18"/>
        </w:rPr>
        <w:t xml:space="preserve">• </w:t>
      </w:r>
      <w:r>
        <w:rPr>
          <w:rFonts w:ascii="Arial" w:hAnsi="Arial"/>
          <w:color w:val="31453A"/>
          <w:sz w:val="16"/>
        </w:rPr>
        <w:t>Proof of posting or receipt to retain.</w:t>
      </w:r>
    </w:p>
    <w:p>
      <w:pPr>
        <w:spacing w:after="20" w:line="240" w:lineRule="auto"/>
        <w:ind w:left="216" w:hanging="173"/>
      </w:pPr>
      <w:r>
        <w:rPr>
          <w:color w:val="D99A42"/>
          <w:sz w:val="18"/>
        </w:rPr>
        <w:t xml:space="preserve">• </w:t>
      </w:r>
      <w:r>
        <w:rPr>
          <w:rFonts w:ascii="Arial" w:hAnsi="Arial"/>
          <w:color w:val="31453A"/>
          <w:sz w:val="16"/>
        </w:rPr>
        <w:t>Non-return or damaged-equipment charges stated in the contract.</w:t>
      </w:r>
    </w:p>
    <w:p>
      <w:pPr>
        <w:pStyle w:val="ONOCRASmall"/>
        <w:spacing w:before="40" w:after="0"/>
      </w:pPr>
      <w:r>
        <w:t>ONOCRA · Independent, evidence-first technology guidance for households</w:t>
      </w:r>
      <w:r>
        <w:t xml:space="preserve">                        Page 4</w:t>
      </w:r>
    </w:p>
    <w:p>
      <w:r>
        <w:br w:type="page"/>
      </w:r>
    </w:p>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4 · Exit, switching, moving home and bundle breakage</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pStyle w:val="Heading2"/>
        <w:spacing w:before="80" w:after="40"/>
      </w:pPr>
      <w:r>
        <w:t>Leaving early can change the entire value calculation</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Cost/risk</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What it is</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What to verify</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Early termination charge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Charge for ending during a minimum commitment period.</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Ask for the provider’s current calculation or quotation. Do not invent it from months remaining.</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Equipment balance / non-return</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Outstanding financed equipment, unreturned gateway/mesh/terminal or damaged equipment.</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Separate service termination from equipment ownership/return.</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Installation / connection recovery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Some promotions waive setup charges conditionally.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Check whether any waived amount can become payable on early exit.</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Bundle discount loss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Mobile/TV/voice/broadband discount can disappear if one component is cancelled.</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Recalculate all affected services, not only broadband.</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Moving home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Provider may transfer service, offer a different technology, or be unable to provide equivalent service.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Check relocation rules before committing if a move is plausible.</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Switching overlap</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Short overlap can avoid downtime but may mean paying two providers briefly.</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Treat this as a transition cost, not a recurring plan cost.</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End of minimum term</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Price and cancellation rights may change after the commitment expires.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Check end-of-contract notice / renewal terms rather than assuming the deal continues unchanged.</w:t>
            </w:r>
          </w:p>
        </w:tc>
      </w:tr>
    </w:tbl>
    <w:p>
      <w:pPr>
        <w:pStyle w:val="Heading2"/>
        <w:spacing w:before="80" w:after="40"/>
      </w:pPr>
      <w:r>
        <w:t>Regional exit reminders</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Market</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General position</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ONOCRA safeguard</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US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Provider-specific. Use the Broadband Consumer Label and contract/order terms for any term duration and early termination fee.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Do not assume a standard federal ETF formula.</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UK</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Early termination charges can apply during a 12/18/24-month commitment; Ofcom says they should not exceed the payments left and may be lower. Providers must disclose agreed price changes clearly.</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4"/>
              </w:rPr>
              <w:t>Check your actual provider quotation and whether a penalty-free exit right applies to an unagreed change.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Germany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After a minimum term has expired and the contract has automatically extended, it can be cancelled with one month’s notice. Material unilateral contract changes can also create termination rights, subject to the statutory rules.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4"/>
              </w:rPr>
              <w:t>Use the contract summary and Bundesnetzagentur guidance for the specific situation.</w:t>
            </w:r>
          </w:p>
        </w:tc>
      </w:tr>
    </w:tbl>
    <w:p>
      <w:pPr>
        <w:pStyle w:val="ONOCRASmall"/>
        <w:spacing w:before="40" w:after="0"/>
      </w:pPr>
      <w:r>
        <w:t>ONOCRA · Independent, evidence-first technology guidance for households</w:t>
      </w:r>
      <w:r>
        <w:t xml:space="preserve">                        Page 5</w:t>
      </w:r>
    </w:p>
    <w:p>
      <w:r>
        <w:br w:type="page"/>
      </w:r>
    </w:p>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5 · Practical pre-signing comparison</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pStyle w:val="Heading2"/>
        <w:spacing w:before="80" w:after="40"/>
      </w:pPr>
      <w:r>
        <w:t>Twelve questions before you accept the offer</w:t>
      </w:r>
    </w:p>
    <w:tbl>
      <w:tblPr>
        <w:tblW w:type="auto" w:w="0"/>
        <w:jc w:val="center"/>
        <w:tblLayout w:type="autofit"/>
        <w:tblLook w:firstColumn="1" w:firstRow="1" w:lastColumn="0" w:lastRow="0" w:noHBand="0" w:noVBand="1" w:val="04A0"/>
      </w:tblPr>
      <w:tblGrid>
        <w:gridCol w:w="7855"/>
        <w:gridCol w:w="7855"/>
      </w:tblGrid>
      <w:tr>
        <w:trPr>
          <w:tblHeader w:val="true"/>
        </w:trPr>
        <w:tc>
          <w:tcPr>
            <w:tcW w:type="dxa" w:w="7855"/>
            <w:shd w:fill="0F5A3A"/>
            <w:vAlign w:val="center"/>
            <w:tcMar>
              <w:top w:w="55" w:type="dxa"/>
              <w:start w:w="70" w:type="dxa"/>
              <w:bottom w:w="55" w:type="dxa"/>
              <w:end w:w="70" w:type="dxa"/>
            </w:tcMar>
          </w:tcPr>
          <w:p>
            <w:pPr>
              <w:spacing w:before="0" w:after="0"/>
            </w:pPr>
            <w:r/>
            <w:r>
              <w:rPr>
                <w:rFonts w:ascii="Arial" w:hAnsi="Arial"/>
                <w:b/>
                <w:color w:val="FFFFFF"/>
                <w:sz w:val="14"/>
              </w:rPr>
              <w:t>#</w:t>
            </w:r>
          </w:p>
        </w:tc>
        <w:tc>
          <w:tcPr>
            <w:tcW w:type="dxa" w:w="7855"/>
            <w:shd w:fill="0F5A3A"/>
            <w:vAlign w:val="center"/>
            <w:tcMar>
              <w:top w:w="55" w:type="dxa"/>
              <w:start w:w="70" w:type="dxa"/>
              <w:bottom w:w="55" w:type="dxa"/>
              <w:end w:w="70" w:type="dxa"/>
            </w:tcMar>
          </w:tcPr>
          <w:p>
            <w:pPr>
              <w:spacing w:before="0" w:after="0"/>
            </w:pPr>
            <w:r/>
            <w:r>
              <w:rPr>
                <w:rFonts w:ascii="Arial" w:hAnsi="Arial"/>
                <w:b/>
                <w:color w:val="FFFFFF"/>
                <w:sz w:val="14"/>
              </w:rPr>
              <w:t>Question</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1</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What is the exact plan name and technology at my address?</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2</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Is today’s monthly price introductory? If yes, when does it end and what replaces it?</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3</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Are any later in-contract price changes already specified? On what date and by how much?</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4</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Which monthly fees are mandatory, including router/gateway or support fees?</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5</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What one-time activation, installation, shipping or connection charges apply?</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6</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Is equipment rented, loaned, financed or owned outright?</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7</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What equipment must be returned and by when?</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8</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Does the plan have a data allowance, priority-data rule, throttling or overage charge?</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9</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How long is the minimum commitment and what is the notice period?</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10</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What could I owe if I leave at month 3, month 12 or just before the term ends?</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11</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5"/>
              </w:rPr>
              <w:t>Will cancelling another bundled service remove a discount or change this price?</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12</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5"/>
              </w:rPr>
              <w:t>What happens to price, equipment and cancellation rights when the minimum term ends?</w:t>
            </w:r>
          </w:p>
        </w:tc>
      </w:tr>
    </w:tbl>
    <w:p>
      <w:pPr>
        <w:pStyle w:val="Heading2"/>
        <w:spacing w:before="80" w:after="40"/>
      </w:pPr>
      <w:r>
        <w:t>Red flags that deserve a second look</w:t>
      </w:r>
    </w:p>
    <w:p>
      <w:pPr>
        <w:spacing w:after="20" w:line="240" w:lineRule="auto"/>
        <w:ind w:left="216" w:hanging="173"/>
      </w:pPr>
      <w:r>
        <w:rPr>
          <w:color w:val="D99A42"/>
          <w:sz w:val="18"/>
        </w:rPr>
        <w:t xml:space="preserve">• </w:t>
      </w:r>
      <w:r>
        <w:rPr>
          <w:rFonts w:ascii="Arial" w:hAnsi="Arial"/>
          <w:color w:val="31453A"/>
          <w:sz w:val="16"/>
        </w:rPr>
        <w:t>“From $/£/€…” without a clear later price or duration.</w:t>
      </w:r>
    </w:p>
    <w:p>
      <w:pPr>
        <w:spacing w:after="20" w:line="240" w:lineRule="auto"/>
        <w:ind w:left="216" w:hanging="173"/>
      </w:pPr>
      <w:r>
        <w:rPr>
          <w:color w:val="D99A42"/>
          <w:sz w:val="18"/>
        </w:rPr>
        <w:t xml:space="preserve">• </w:t>
      </w:r>
      <w:r>
        <w:rPr>
          <w:rFonts w:ascii="Arial" w:hAnsi="Arial"/>
          <w:color w:val="31453A"/>
          <w:sz w:val="16"/>
        </w:rPr>
        <w:t>“Free equipment” without ownership/return terms.</w:t>
      </w:r>
    </w:p>
    <w:p>
      <w:pPr>
        <w:spacing w:after="20" w:line="240" w:lineRule="auto"/>
        <w:ind w:left="216" w:hanging="173"/>
      </w:pPr>
      <w:r>
        <w:rPr>
          <w:color w:val="D99A42"/>
          <w:sz w:val="18"/>
        </w:rPr>
        <w:t xml:space="preserve">• </w:t>
      </w:r>
      <w:r>
        <w:rPr>
          <w:rFonts w:ascii="Arial" w:hAnsi="Arial"/>
          <w:color w:val="31453A"/>
          <w:sz w:val="16"/>
        </w:rPr>
        <w:t>A verbal discount that is missing from the order confirmation.</w:t>
      </w:r>
    </w:p>
    <w:p>
      <w:pPr>
        <w:spacing w:after="20" w:line="240" w:lineRule="auto"/>
        <w:ind w:left="216" w:hanging="173"/>
      </w:pPr>
      <w:r>
        <w:rPr>
          <w:color w:val="D99A42"/>
          <w:sz w:val="18"/>
        </w:rPr>
        <w:t xml:space="preserve">• </w:t>
      </w:r>
      <w:r>
        <w:rPr>
          <w:rFonts w:ascii="Arial" w:hAnsi="Arial"/>
          <w:color w:val="31453A"/>
          <w:sz w:val="16"/>
        </w:rPr>
        <w:t>A comparison that ignores installation and recurring equipment fees.</w:t>
      </w:r>
    </w:p>
    <w:p>
      <w:pPr>
        <w:spacing w:after="20" w:line="240" w:lineRule="auto"/>
        <w:ind w:left="216" w:hanging="173"/>
      </w:pPr>
      <w:r>
        <w:rPr>
          <w:color w:val="D99A42"/>
          <w:sz w:val="18"/>
        </w:rPr>
        <w:t xml:space="preserve">• </w:t>
      </w:r>
      <w:r>
        <w:rPr>
          <w:rFonts w:ascii="Arial" w:hAnsi="Arial"/>
          <w:color w:val="31453A"/>
          <w:sz w:val="16"/>
        </w:rPr>
        <w:t>A salesperson quoting “no contract” while the equipment itself is financed or subject to return conditions.</w:t>
      </w:r>
    </w:p>
    <w:p>
      <w:pPr>
        <w:spacing w:after="20" w:line="240" w:lineRule="auto"/>
        <w:ind w:left="216" w:hanging="173"/>
      </w:pPr>
      <w:r>
        <w:rPr>
          <w:color w:val="D99A42"/>
          <w:sz w:val="18"/>
        </w:rPr>
        <w:t xml:space="preserve">• </w:t>
      </w:r>
      <w:r>
        <w:rPr>
          <w:rFonts w:ascii="Arial" w:hAnsi="Arial"/>
          <w:color w:val="31453A"/>
          <w:sz w:val="16"/>
        </w:rPr>
        <w:t>A bundle price compared against a standalone rival without costing the other bundled services.</w:t>
      </w:r>
    </w:p>
    <w:tbl>
      <w:tblPr>
        <w:tblW w:type="auto" w:w="0"/>
        <w:jc w:val="center"/>
        <w:tblLook w:firstColumn="1" w:firstRow="1" w:lastColumn="0" w:lastRow="0" w:noHBand="0" w:noVBand="1" w:val="04A0"/>
      </w:tblPr>
      <w:tblGrid>
        <w:gridCol w:w="15710"/>
      </w:tblGrid>
      <w:tr>
        <w:tc>
          <w:tcPr>
            <w:tcW w:type="dxa" w:w="15710"/>
            <w:shd w:fill="FFF5E4"/>
            <w:tcMar>
              <w:top w:w="85" w:type="dxa"/>
              <w:start w:w="105" w:type="dxa"/>
              <w:bottom w:w="85" w:type="dxa"/>
              <w:end w:w="105" w:type="dxa"/>
            </w:tcMar>
          </w:tcPr>
          <w:p>
            <w:pPr>
              <w:spacing w:after="0"/>
            </w:pPr>
            <w:r/>
            <w:r>
              <w:rPr>
                <w:rFonts w:ascii="Arial" w:hAnsi="Arial"/>
                <w:b/>
                <w:color w:val="0F5A3A"/>
                <w:sz w:val="16"/>
              </w:rPr>
              <w:t xml:space="preserve">Best practice: </w:t>
            </w:r>
            <w:r>
              <w:rPr>
                <w:rFonts w:ascii="Arial" w:hAnsi="Arial"/>
                <w:color w:val="31453A"/>
                <w:sz w:val="16"/>
              </w:rPr>
              <w:t>Save the offer evidence before ordering. Web pages and promotions change. ONOCRA should compare plans using a dated snapshot, exact configuration and exact service address, while avoiding fabricated future prices or exit charges.</w:t>
            </w:r>
          </w:p>
        </w:tc>
      </w:tr>
    </w:tbl>
    <w:p>
      <w:pPr>
        <w:pStyle w:val="ONOCRASmall"/>
        <w:spacing w:before="40" w:after="0"/>
      </w:pPr>
      <w:r>
        <w:t>ONOCRA · Independent, evidence-first technology guidance for households</w:t>
      </w:r>
      <w:r>
        <w:t xml:space="preserve">                        Page 6</w:t>
      </w:r>
    </w:p>
    <w:p>
      <w:r>
        <w:br w:type="page"/>
      </w:r>
    </w:p>
    <w:tbl>
      <w:tblPr>
        <w:tblW w:type="auto" w:w="0"/>
        <w:jc w:val="center"/>
        <w:tblLayout w:type="fixed"/>
        <w:tblLook w:firstColumn="1" w:firstRow="1" w:lastColumn="0" w:lastRow="0" w:noHBand="0" w:noVBand="1" w:val="04A0"/>
      </w:tblPr>
      <w:tblGrid>
        <w:gridCol w:w="1440"/>
        <w:gridCol w:w="14112"/>
      </w:tblGrid>
      <w:tr>
        <w:tc>
          <w:tcPr>
            <w:tcW w:type="dxa" w:w="7855"/>
            <w:shd w:fill="0F5A3A"/>
            <w:tcMar>
              <w:top w:w="55" w:type="dxa"/>
              <w:start w:w="70" w:type="dxa"/>
              <w:bottom w:w="55" w:type="dxa"/>
              <w:end w:w="70" w:type="dxa"/>
            </w:tcMar>
            <w:vAlign w:val="center"/>
          </w:tcPr>
          <w:p>
            <w:pPr>
              <w:spacing w:before="0" w:after="0"/>
              <w:jc w:val="center"/>
            </w:pPr>
            <w:r/>
            <w:r>
              <w:rPr>
                <w:rFonts w:ascii="Arial" w:hAnsi="Arial"/>
                <w:b/>
                <w:color w:val="F4F0E4"/>
                <w:sz w:val="54"/>
              </w:rPr>
              <w:t>O.</w:t>
            </w:r>
          </w:p>
        </w:tc>
        <w:tc>
          <w:tcPr>
            <w:tcW w:type="dxa" w:w="7855"/>
            <w:shd w:fill="0F5A3A"/>
            <w:tcMar>
              <w:top w:w="75" w:type="dxa"/>
              <w:start w:w="90" w:type="dxa"/>
              <w:bottom w:w="75" w:type="dxa"/>
              <w:end w:w="90" w:type="dxa"/>
            </w:tcMar>
          </w:tcPr>
          <w:p>
            <w:pPr>
              <w:spacing w:after="0"/>
            </w:pPr>
            <w:r/>
            <w:r>
              <w:rPr>
                <w:rFonts w:ascii="Arial" w:hAnsi="Arial"/>
                <w:b/>
                <w:color w:val="D9E8DE"/>
                <w:sz w:val="15"/>
              </w:rPr>
              <w:t>ONOCRA DECISION &amp; EVIDENCE GUIDE · DEC-04</w:t>
            </w:r>
          </w:p>
          <w:p>
            <w:pPr>
              <w:spacing w:after="0"/>
            </w:pPr>
            <w:r>
              <w:rPr>
                <w:rFonts w:ascii="Georgia" w:hAnsi="Georgia"/>
                <w:b/>
                <w:color w:val="FFFFFF"/>
                <w:sz w:val="41"/>
              </w:rPr>
              <w:t>6 · Step 4 evidence fields, glossary &amp; official sources</w:t>
            </w:r>
          </w:p>
          <w:p>
            <w:pPr>
              <w:spacing w:after="0"/>
            </w:pPr>
            <w:r>
              <w:rPr>
                <w:rFonts w:ascii="Arial" w:hAnsi="Arial"/>
                <w:color w:val="E2EDE6"/>
                <w:sz w:val="16"/>
              </w:rPr>
              <w:t>Home Internet &amp; Wi-Fi · Decision &amp; evidence guide</w:t>
            </w:r>
          </w:p>
        </w:tc>
      </w:tr>
    </w:tbl>
    <w:p>
      <w:pPr>
        <w:spacing w:after="40"/>
        <w:pBdr>
          <w:bottom w:val="single" w:sz="18" w:color="D99A42"/>
        </w:pBdr>
      </w:pPr>
    </w:p>
    <w:p>
      <w:pPr>
        <w:pStyle w:val="Heading2"/>
        <w:spacing w:before="80" w:after="40"/>
      </w:pPr>
      <w:r>
        <w:t>Step 4 structured evidence handoff</w:t>
      </w:r>
    </w:p>
    <w:tbl>
      <w:tblPr>
        <w:tblW w:type="auto" w:w="0"/>
        <w:jc w:val="center"/>
        <w:tblLayout w:type="autofit"/>
        <w:tblLook w:firstColumn="1" w:firstRow="1" w:lastColumn="0" w:lastRow="0" w:noHBand="0" w:noVBand="1" w:val="04A0"/>
      </w:tblPr>
      <w:tblGrid>
        <w:gridCol w:w="5237"/>
        <w:gridCol w:w="5237"/>
        <w:gridCol w:w="5237"/>
      </w:tblGrid>
      <w:tr>
        <w:trPr>
          <w:tblHeader w:val="true"/>
        </w:trPr>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Field group</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Standard fields</w:t>
            </w:r>
          </w:p>
        </w:tc>
        <w:tc>
          <w:tcPr>
            <w:tcW w:type="dxa" w:w="5237"/>
            <w:shd w:fill="0F5A3A"/>
            <w:vAlign w:val="center"/>
            <w:tcMar>
              <w:top w:w="55" w:type="dxa"/>
              <w:start w:w="70" w:type="dxa"/>
              <w:bottom w:w="55" w:type="dxa"/>
              <w:end w:w="70" w:type="dxa"/>
            </w:tcMar>
          </w:tcPr>
          <w:p>
            <w:pPr>
              <w:spacing w:before="0" w:after="0"/>
            </w:pPr>
            <w:r/>
            <w:r>
              <w:rPr>
                <w:rFonts w:ascii="Arial" w:hAnsi="Arial"/>
                <w:b/>
                <w:color w:val="FFFFFF"/>
                <w:sz w:val="14"/>
              </w:rPr>
              <w:t>Why Step 4 needs it</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plan_identity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provider · plan_name · technology_family · region · service_address_status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Prevents mixing similarly named plans.</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price_now</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currency · monthly_price · introductory_flag · intro_end_date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Separates current headline from long-run cost.</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price_later</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post_intro_price · scheduled_change_amount · scheduled_change_date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Makes known future changes visible.</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recurring_fees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mandatory_equipment_fee · other_required_fee · discount_conditions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Captures costs beyond base price.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one_time_costs</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activation · installation · shipping · connection · equipment_purchase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Supports total first-year/term cost.</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equipment_terms</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device · rent/loan/buy · ownership · return_deadline · non_return_fee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Prevents “free router” ambiguity.</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contract</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minimum_term · notice_period · auto_extension · end_of_term_price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Supports exit and renewal guidance.</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exit</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ETF_basis · quoted_exit_cost · quote_date · move_policy</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Keep formula/quote attributable.</w:t>
            </w:r>
          </w:p>
        </w:tc>
      </w:tr>
      <w:tr>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usage_policy</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data_allowance · overage · priority/throttle_rule</w:t>
            </w:r>
          </w:p>
        </w:tc>
        <w:tc>
          <w:tcPr>
            <w:tcW w:type="dxa" w:w="5237"/>
            <w:shd w:fill="FFFFFF"/>
            <w:vAlign w:val="center"/>
            <w:tcMar>
              <w:top w:w="55" w:type="dxa"/>
              <w:start w:w="70" w:type="dxa"/>
              <w:bottom w:w="55" w:type="dxa"/>
              <w:end w:w="70" w:type="dxa"/>
            </w:tcMar>
          </w:tcPr>
          <w:p>
            <w:pPr>
              <w:spacing w:before="0" w:after="0"/>
            </w:pPr>
            <w:r/>
            <w:r>
              <w:rPr>
                <w:rFonts w:ascii="Arial" w:hAnsi="Arial"/>
                <w:b w:val="0"/>
                <w:color w:val="31453A"/>
                <w:sz w:val="13"/>
              </w:rPr>
              <w:t>Important for FWA/satellite and some fixed plans.</w:t>
            </w:r>
          </w:p>
        </w:tc>
      </w:tr>
      <w:tr>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evidence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source_url · observation_date · contract_summary_or_label · confidence</w:t>
            </w:r>
          </w:p>
        </w:tc>
        <w:tc>
          <w:tcPr>
            <w:tcW w:type="dxa" w:w="5237"/>
            <w:shd w:fill="F5F8F5"/>
            <w:vAlign w:val="center"/>
            <w:tcMar>
              <w:top w:w="55" w:type="dxa"/>
              <w:start w:w="70" w:type="dxa"/>
              <w:bottom w:w="55" w:type="dxa"/>
              <w:end w:w="70" w:type="dxa"/>
            </w:tcMar>
          </w:tcPr>
          <w:p>
            <w:pPr>
              <w:spacing w:before="0" w:after="0"/>
            </w:pPr>
            <w:r/>
            <w:r>
              <w:rPr>
                <w:rFonts w:ascii="Arial" w:hAnsi="Arial"/>
                <w:b w:val="0"/>
                <w:color w:val="31453A"/>
                <w:sz w:val="13"/>
              </w:rPr>
              <w:t>Makes every commercial claim auditable.</w:t>
            </w:r>
          </w:p>
        </w:tc>
      </w:tr>
    </w:tbl>
    <w:p>
      <w:pPr>
        <w:pStyle w:val="Heading2"/>
        <w:spacing w:before="80" w:after="40"/>
      </w:pPr>
      <w:r>
        <w:t>Terms in plain words</w:t>
      </w:r>
    </w:p>
    <w:tbl>
      <w:tblPr>
        <w:tblW w:type="auto" w:w="0"/>
        <w:jc w:val="center"/>
        <w:tblLayout w:type="autofit"/>
        <w:tblLook w:firstColumn="1" w:firstRow="1" w:lastColumn="0" w:lastRow="0" w:noHBand="0" w:noVBand="1" w:val="04A0"/>
      </w:tblPr>
      <w:tblGrid>
        <w:gridCol w:w="7855"/>
        <w:gridCol w:w="7855"/>
      </w:tblGrid>
      <w:tr>
        <w:trPr>
          <w:tblHeader w:val="true"/>
        </w:trPr>
        <w:tc>
          <w:tcPr>
            <w:tcW w:type="dxa" w:w="7855"/>
            <w:shd w:fill="0F5A3A"/>
            <w:vAlign w:val="center"/>
            <w:tcMar>
              <w:top w:w="55" w:type="dxa"/>
              <w:start w:w="70" w:type="dxa"/>
              <w:bottom w:w="55" w:type="dxa"/>
              <w:end w:w="70" w:type="dxa"/>
            </w:tcMar>
          </w:tcPr>
          <w:p>
            <w:pPr>
              <w:spacing w:before="0" w:after="0"/>
            </w:pPr>
            <w:r/>
            <w:r>
              <w:rPr>
                <w:rFonts w:ascii="Arial" w:hAnsi="Arial"/>
                <w:b/>
                <w:color w:val="FFFFFF"/>
                <w:sz w:val="14"/>
              </w:rPr>
              <w:t>Term</w:t>
            </w:r>
          </w:p>
        </w:tc>
        <w:tc>
          <w:tcPr>
            <w:tcW w:type="dxa" w:w="7855"/>
            <w:shd w:fill="0F5A3A"/>
            <w:vAlign w:val="center"/>
            <w:tcMar>
              <w:top w:w="55" w:type="dxa"/>
              <w:start w:w="70" w:type="dxa"/>
              <w:bottom w:w="55" w:type="dxa"/>
              <w:end w:w="70" w:type="dxa"/>
            </w:tcMar>
          </w:tcPr>
          <w:p>
            <w:pPr>
              <w:spacing w:before="0" w:after="0"/>
            </w:pPr>
            <w:r/>
            <w:r>
              <w:rPr>
                <w:rFonts w:ascii="Arial" w:hAnsi="Arial"/>
                <w:b/>
                <w:color w:val="FFFFFF"/>
                <w:sz w:val="14"/>
              </w:rPr>
              <w:t>Meaning</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Introductory price</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A temporary promotional price that changes after a defined period.</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Minimum commitment</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The period during which cancelling can trigger an early termination charge.</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Early termination charge (ETC/ETF)</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A contract-defined charge for ending service before the commitment ends.</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Recurring fee</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A charge added regularly, such as equipment rental or a mandatory service fee.</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One-time fee</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A charge normally paid once, such as installation or activation.</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Contract summary / product information sheet</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A standardized pre-contract document used in the UK/Germany to present important terms clearly.</w:t>
            </w:r>
          </w:p>
        </w:tc>
      </w:tr>
      <w:tr>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Broadband Consumer Label</w:t>
            </w:r>
          </w:p>
        </w:tc>
        <w:tc>
          <w:tcPr>
            <w:tcW w:type="dxa" w:w="7855"/>
            <w:shd w:fill="FFFFFF"/>
            <w:vAlign w:val="center"/>
            <w:tcMar>
              <w:top w:w="55" w:type="dxa"/>
              <w:start w:w="70" w:type="dxa"/>
              <w:bottom w:w="55" w:type="dxa"/>
              <w:end w:w="70" w:type="dxa"/>
            </w:tcMar>
          </w:tcPr>
          <w:p>
            <w:pPr>
              <w:spacing w:before="0" w:after="0"/>
            </w:pPr>
            <w:r/>
            <w:r>
              <w:rPr>
                <w:rFonts w:ascii="Arial" w:hAnsi="Arial"/>
                <w:b w:val="0"/>
                <w:color w:val="31453A"/>
                <w:sz w:val="14"/>
              </w:rPr>
              <w:t>US FCC disclosure format designed to make broadband price, terms and performance easier to compare.</w:t>
            </w:r>
          </w:p>
        </w:tc>
      </w:tr>
      <w:tr>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End-of-contract notification</w:t>
            </w:r>
          </w:p>
        </w:tc>
        <w:tc>
          <w:tcPr>
            <w:tcW w:type="dxa" w:w="7855"/>
            <w:shd w:fill="F5F8F5"/>
            <w:vAlign w:val="center"/>
            <w:tcMar>
              <w:top w:w="55" w:type="dxa"/>
              <w:start w:w="70" w:type="dxa"/>
              <w:bottom w:w="55" w:type="dxa"/>
              <w:end w:w="70" w:type="dxa"/>
            </w:tcMar>
          </w:tcPr>
          <w:p>
            <w:pPr>
              <w:spacing w:before="0" w:after="0"/>
            </w:pPr>
            <w:r/>
            <w:r>
              <w:rPr>
                <w:rFonts w:ascii="Arial" w:hAnsi="Arial"/>
                <w:b w:val="0"/>
                <w:color w:val="31453A"/>
                <w:sz w:val="14"/>
              </w:rPr>
              <w:t>UK notification telling customers their commitment is ending and showing key price/deal information.</w:t>
            </w:r>
          </w:p>
        </w:tc>
      </w:tr>
    </w:tbl>
    <w:p>
      <w:pPr>
        <w:pStyle w:val="Heading2"/>
        <w:spacing w:before="80" w:after="40"/>
      </w:pPr>
      <w:r>
        <w:t>Official verification sources — checked 20 October 2026</w:t>
      </w:r>
    </w:p>
    <w:p>
      <w:pPr>
        <w:spacing w:after="20"/>
      </w:pPr>
      <w:r>
        <w:rPr>
          <w:rFonts w:ascii="Arial" w:hAnsi="Arial"/>
          <w:b/>
          <w:color w:val="0F5A3A"/>
          <w:sz w:val="15"/>
        </w:rPr>
        <w:t xml:space="preserve">United States — FCC Broadband Consumer Labels: </w:t>
      </w:r>
      <w:hyperlink r:id="rId9">
        <w:r>
          <w:rPr>
            <w:color w:val="0563C1"/>
            <w:u w:val="single"/>
            <w:sz w:val="17"/>
          </w:rPr>
          <w:t>Open official source</w:t>
        </w:r>
      </w:hyperlink>
    </w:p>
    <w:p>
      <w:pPr>
        <w:spacing w:after="20"/>
      </w:pPr>
      <w:r>
        <w:rPr>
          <w:rFonts w:ascii="Arial" w:hAnsi="Arial"/>
          <w:b/>
          <w:color w:val="0F5A3A"/>
          <w:sz w:val="15"/>
        </w:rPr>
        <w:t xml:space="preserve">United Kingdom — Ofcom contracts / new broadband checklist: </w:t>
      </w:r>
      <w:hyperlink r:id="rId10">
        <w:r>
          <w:rPr>
            <w:color w:val="0563C1"/>
            <w:u w:val="single"/>
            <w:sz w:val="17"/>
          </w:rPr>
          <w:t>Open official source</w:t>
        </w:r>
      </w:hyperlink>
    </w:p>
    <w:p>
      <w:pPr>
        <w:spacing w:after="20"/>
      </w:pPr>
      <w:r>
        <w:rPr>
          <w:rFonts w:ascii="Arial" w:hAnsi="Arial"/>
          <w:b/>
          <w:color w:val="0F5A3A"/>
          <w:sz w:val="15"/>
        </w:rPr>
        <w:t xml:space="preserve">United Kingdom — Ofcom telecoms price rises: </w:t>
      </w:r>
      <w:hyperlink r:id="rId11">
        <w:r>
          <w:rPr>
            <w:color w:val="0563C1"/>
            <w:u w:val="single"/>
            <w:sz w:val="17"/>
          </w:rPr>
          <w:t>Open official source</w:t>
        </w:r>
      </w:hyperlink>
    </w:p>
    <w:p>
      <w:pPr>
        <w:spacing w:after="20"/>
      </w:pPr>
      <w:r>
        <w:rPr>
          <w:rFonts w:ascii="Arial" w:hAnsi="Arial"/>
          <w:b/>
          <w:color w:val="0F5A3A"/>
          <w:sz w:val="15"/>
        </w:rPr>
        <w:t xml:space="preserve">Germany — Bundesnetzagentur contract guidance: </w:t>
      </w:r>
      <w:hyperlink r:id="rId12">
        <w:r>
          <w:rPr>
            <w:color w:val="0563C1"/>
            <w:u w:val="single"/>
            <w:sz w:val="17"/>
          </w:rPr>
          <w:t>Open official source</w:t>
        </w:r>
      </w:hyperlink>
    </w:p>
    <w:p>
      <w:pPr>
        <w:spacing w:after="20"/>
      </w:pPr>
      <w:r>
        <w:rPr>
          <w:rFonts w:ascii="Arial" w:hAnsi="Arial"/>
          <w:b/>
          <w:color w:val="0F5A3A"/>
          <w:sz w:val="15"/>
        </w:rPr>
        <w:t xml:space="preserve">Germany — Bundesnetzagentur transparency measures: </w:t>
      </w:r>
      <w:hyperlink r:id="rId13">
        <w:r>
          <w:rPr>
            <w:color w:val="0563C1"/>
            <w:u w:val="single"/>
            <w:sz w:val="17"/>
          </w:rPr>
          <w:t>Open official source</w:t>
        </w:r>
      </w:hyperlink>
    </w:p>
    <w:p>
      <w:pPr>
        <w:spacing w:after="60" w:line="247" w:lineRule="auto"/>
      </w:pPr>
      <w:r>
        <w:rPr>
          <w:rFonts w:ascii="Arial" w:hAnsi="Arial"/>
          <w:color w:val="66756D"/>
          <w:sz w:val="15"/>
        </w:rPr>
        <w:t>General information only. ONOCRA does not provide legal or financial advice and does not claim to operate a broadband test laboratory. Prices, promotions, fees, taxes, equipment policies and contract terms change; verify the exact written offer before ordering.</w:t>
      </w:r>
    </w:p>
    <w:p>
      <w:pPr>
        <w:pStyle w:val="ONOCRASmall"/>
        <w:spacing w:before="40" w:after="0"/>
      </w:pPr>
      <w:r>
        <w:t>ONOCRA · Independent, evidence-first technology guidance for households</w:t>
      </w:r>
      <w:r>
        <w:t xml:space="preserve">                        Page 7</w:t>
      </w:r>
    </w:p>
    <w:sectPr w:rsidR="00FC693F" w:rsidRPr="0006063C" w:rsidSect="00034616">
      <w:pgSz w:w="16834" w:h="11909" w:orient="landscape"/>
      <w:pgMar w:top="490" w:right="562" w:bottom="490" w:left="5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145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F5A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5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F5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NOCRASmall">
    <w:name w:val="ONOCRA Small"/>
    <w:rPr>
      <w:rFonts w:ascii="Arial" w:hAnsi="Arial"/>
      <w:color w:val="66756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cc.gov/broadbandlabels" TargetMode="External"/><Relationship Id="rId10" Type="http://schemas.openxmlformats.org/officeDocument/2006/relationships/hyperlink" Target="https://www.ofcom.org.uk/phones-and-broadband/switching-provider/checklist-when-taking-out-new-phone-or-broadband-contract" TargetMode="External"/><Relationship Id="rId11" Type="http://schemas.openxmlformats.org/officeDocument/2006/relationships/hyperlink" Target="https://www.ofcom.org.uk/phones-and-broadband/saving-money/telecoms-price-rises-what-are-your-rights" TargetMode="External"/><Relationship Id="rId12" Type="http://schemas.openxmlformats.org/officeDocument/2006/relationships/hyperlink" Target="https://www.bundesnetzagentur.de/DE/Vportal/TK/InternetTelefon/Vertrag/start.html" TargetMode="External"/><Relationship Id="rId13" Type="http://schemas.openxmlformats.org/officeDocument/2006/relationships/hyperlink" Target="https://www.bundesnetzagentur.de/DE/Fachthemen/Telekommunikation/Unternehmenspflichten/Transparenzmassnahmen/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