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pPr>
      <w:r>
        <w:drawing>
          <wp:inline distT="0" distB="0" distL="0" distR="0">
            <wp:extent cx="800100" cy="781050"/>
            <wp:effectExtent t="0" r="0" b="0" l="0"/>
            <wp:docPr id="1" name="logo2" descr="ONOCRA signature logo" title="ONO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00100" cy="781050"/>
                    </a:xfrm>
                    <a:prstGeom prst="rect">
                      <a:avLst/>
                    </a:prstGeom>
                  </pic:spPr>
                </pic:pic>
              </a:graphicData>
            </a:graphic>
          </wp:inline>
        </w:drawing>
      </w:r>
    </w:p>
    <w:p>
      <w:pPr>
        <w:spacing w:after="40"/>
      </w:pPr>
      <w:r>
        <w:rPr>
          <w:rFonts w:ascii="Georgia" w:cs="Georgia" w:eastAsia="Georgia" w:hAnsi="Georgia"/>
          <w:b/>
          <w:bCs/>
          <w:color w:val="0B4A32"/>
          <w:sz w:val="44"/>
          <w:szCs w:val="44"/>
        </w:rPr>
        <w:t>Cable Broadband / Coax (HFC) vs. 4G / 5G Fixed Wireless Access (FWA)</w:t>
      </w:r>
    </w:p>
    <w:p>
      <w:pPr>
        <w:pBdr>
          <w:bottom w:val="single" w:color="F26B0F" w:sz="12" w:space="6"/>
        </w:pBdr>
        <w:spacing w:after="160"/>
      </w:pPr>
      <w:r>
        <w:rPr>
          <w:rFonts w:ascii="Calibri" w:cs="Calibri" w:eastAsia="Calibri" w:hAnsi="Calibri"/>
          <w:color w:val="5B6660"/>
          <w:sz w:val="24"/>
          <w:szCs w:val="24"/>
        </w:rPr>
        <w:t>An ONOCRA comparison framework for household broadband choices</w:t>
      </w:r>
    </w:p>
    <w:p>
      <w:pPr>
        <w:spacing w:after="60"/>
      </w:pPr>
      <w:r>
        <w:rPr>
          <w:rFonts w:ascii="Calibri" w:cs="Calibri" w:eastAsia="Calibri" w:hAnsi="Calibri"/>
          <w:color w:val="1F2A24"/>
          <w:sz w:val="20"/>
          <w:szCs w:val="20"/>
        </w:rPr>
        <w:t>This guide compares two widely used ways to deliver home broadband without full fibre to the premises: cable broadband, usually using hybrid fibre-coax (HFC) with coaxial cable on the final access segment, and 4G / 5G fixed wireless access (FWA), where a fixed home gateway or receiver connects by radio to a cellular network. It helps you decide which questions matter before you choose or switch a provider or plan.</w:t>
      </w:r>
    </w:p>
    <w:p>
      <w:pPr>
        <w:spacing w:after="60"/>
      </w:pPr>
      <w:r>
        <w:rPr>
          <w:rFonts w:ascii="Calibri" w:cs="Calibri" w:eastAsia="Calibri" w:hAnsi="Calibri"/>
          <w:b/>
          <w:bCs/>
          <w:color w:val="0B4A32"/>
          <w:sz w:val="20"/>
          <w:szCs w:val="20"/>
        </w:rPr>
        <w:t>How to read it. Neither technology is “better” in every case. Cable performance is shaped by the local HFC/DOCSIS network, node load and upstream design; FWA performance is shaped by the local radio signal, cell capacity and provider policy. Each row explains what each access type can offer, where limits may apply, and what you should verify for your exact address. This is qualitative technical context only. These are not measured provider or product results, and we do not publish invented prices or scores.</w:t>
      </w:r>
      <w:r>
        <w:rPr>
          <w:rFonts w:ascii="Calibri" w:cs="Calibri" w:eastAsia="Calibri" w:hAnsi="Calibri"/>
          <w:color w:val="1F2A24"/>
          <w:sz w:val="20"/>
          <w:szCs w:val="20"/>
        </w:rPr>
      </w:r>
      <w:r>
        <w:rPr>
          <w:b w:val="0"/>
        </w:rPr>
      </w:r>
    </w:p>
    <w:p>
      <w:pPr>
        <w:pStyle w:val="Heading2"/>
        <w:spacing w:after="100" w:before="240"/>
      </w:pPr>
      <w:r>
        <w:rPr>
          <w:rFonts w:ascii="Georgia" w:cs="Georgia" w:eastAsia="Georgia" w:hAnsi="Georgia"/>
          <w:b/>
          <w:bCs/>
          <w:color w:val="0B4A32"/>
          <w:sz w:val="24"/>
          <w:szCs w:val="24"/>
        </w:rPr>
        <w:t xml:space="preserve">Evidence key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400"/>
        <w:gridCol w:w="11000"/>
      </w:tblGrid>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Provider claim</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What the provider or manufacturer says. Useful, but verify it.</w:t>
            </w:r>
          </w:p>
        </w:tc>
      </w:tr>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Independent testing</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Measurements by third parties. Check the date, location and method.</w:t>
            </w:r>
          </w:p>
        </w:tc>
      </w:tr>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Editorial interpretation</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ONOCRA’s reading of the evidence. Marked as such, never presented as a measurement.</w:t>
            </w:r>
          </w:p>
        </w:tc>
      </w:tr>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Unverified</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No reliable evidence found yet. We say so rather than guess.</w:t>
            </w:r>
          </w:p>
        </w:tc>
      </w:tr>
    </w:tbl>
    <w:p>
      <w:pPr>
        <w:pageBreakBefore/>
      </w:pPr>
    </w:p>
    <w:p>
      <w:pPr>
        <w:pStyle w:val="Heading1"/>
        <w:spacing w:after="100" w:before="240"/>
      </w:pPr>
      <w:r>
        <w:rPr>
          <w:rFonts w:ascii="Georgia" w:cs="Georgia" w:eastAsia="Georgia" w:hAnsi="Georgia"/>
          <w:b/>
          <w:bCs/>
          <w:color w:val="0B4A32"/>
          <w:sz w:val="30"/>
          <w:szCs w:val="30"/>
        </w:rPr>
        <w:t xml:space="preserve">Full comparison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4100"/>
        <w:gridCol w:w="4100"/>
      </w:tblGrid>
      <w:tr>
        <w:trPr>
          <w:tblHeader/>
        </w:trPr>
        <w:tc>
          <w:tcPr>
            <w:tcW w:type="dxa" w:w="2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r>
              <w:t>Factor</w:t>
            </w:r>
          </w:p>
        </w:tc>
        <w:tc>
          <w:tcPr>
            <w:tcW w:type="dxa" w:w="4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r>
              <w:t>Cable broadband / coax (HFC)</w:t>
            </w:r>
          </w:p>
        </w:tc>
        <w:tc>
          <w:tcPr>
            <w:tcW w:type="dxa" w:w="4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r>
              <w:t>4G / 5G fixed wireless access (FWA)</w:t>
            </w:r>
          </w:p>
        </w:tc>
        <w:tc>
          <w:tcPr>
            <w:tcW w:type="dxa" w:w="4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r>
              <w:t>What to verify</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r>
              <w:t>1 · Technology &amp; network design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How it works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Cable broadband typically uses hybrid fibre-coax (HFC): fibre runs deep into the provider network, then coaxial cable carries the final access segment to the premises through a cable modem or gateway.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 fixed home gateway or outdoor receiver connects by radio to a 4G or 5G cellular network. Authentication may use a SIM, eSIM or equivalent provider method.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whether your address is served by HFC/coax or by a fixed 4G/5G home-broadband product, and what equipment is supplied.</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Network generation / standard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DOCSIS is the cable-broadband standard family. Capability depends on the DOCSIS generation, upstream/downstream spectrum design, local HFC plant and service tier. DOCSIS 4.0 is an upgrade generation, not a separate access family.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4G and 5G are different radio generations. 5G can use different bands and standalone or non-standalone modes. A 5G-capable gateway does not guarantee a 5G signal, a particular band or a particular measured speed at your home.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For cable, ask which DOCSIS generation and network configuration serve the address. For FWA, ask which radio generation, band and network mode serve the address and whether 4G fallback is likely.</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Shared capacity &amp; local contention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Capacity is shared across the local cable segment or node. Busy periods can reduce the capacity available to each household, depending on node load, spectrum allocation and network design.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Radio capacity is shared with other users in the serving cell or sector and, on some networks, with mobile users. Available capacity can change by place, time and network load.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For cable, look for local busy-period performance and node/network information where available. For FWA, verify address eligibility, serving-cell capacity and busy-period performance rather than relying only on a mobile coverage map.</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Signal path &amp; environment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Coaxial signals can be affected by poor connectors, damaged cable, splitters, ingress/noise and faults in outside or in-home coax. The access path itself is not an over-the-air radio link.</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Distance to the serving site, walls, windows, terrain, foliage, radio band and gateway placement can change signal quality. Higher-frequency signals are generally more sensitive to obstruction.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For cable, ask who maintains the coax/outlet and whether a technician can test signal quality. For FWA, ask how indoor signal is assessed and whether an outdoor receiver or external antenna is supported.</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r>
              <w:t>2 · Speed &amp; performance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Download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offer high to very high download tiers where the HFC network, DOCSIS generation, modem and service tier support them.</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offer high download speeds where signal quality and cell capacity are good. Results can vary materially by location, radio band, network load and time of day.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Compare the provider’s address-specific typical/minimum information where available; do not rely only on headline “up to” speeds or a general coverage map.</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Upload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Upload is often lower than download on many current HFC services. Newer DOCSIS and network upgrades can materially improve upstream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Upload is often lower than download and depends on signal quality, radio conditions, cell load and provider policy.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Look for the stated upload figure for the exact plan. If possible, test real upload performance during a trial or return period.</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Local load, signal &amp; network conditions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Cable performance is influenced by local node load, HFC plant condition, modem compatibility and upstream/downstream spectrum design rather than by a copper line-length estimate.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Performance depends on radio path quality, serving-site distance, band, obstruction, gateway placement and how many users share local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For cable, compare busy-period results and confirm modem/DOCSIS compatibility. For FWA, test different gateway positions and compare busy-period results at the exact premises.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Latency &amp; jitter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be low and stable on a well-provisioned HFC network. Latency and jitter may rise with local congestion, RF impairment, routing or provider-network conditions.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be low on a strong, stable signal, but latency and jitter may vary with radio conditions, cell load, handovers, backhaul and traffic management.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Compare independent latency/jitter results at several times of day and test during your usual work or gaming hours where possible.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Peak-time consistency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Peak-time experience depends on local node load, network design, service tier and how much capacity the operator has provisioned.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Evening, event or local high-load periods can reduce available radio capacity depending on sector load and provider policy.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whether the provider publishes typical busy-hour performance for your area or plan, and use a trial to test your own premises if available.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Stability &amp; outages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Reliability depends on coax condition, powered outside-plant equipment, the local node, backhaul/core network, the modem/gateway and local power.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be affected by radio-environment changes, cell congestion, maintenance, power/backhaul failures or poor gateway placement. The home gateway needs power.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about fault diagnostics, outage handling, repair/support targets and what happens if the cable signal becomes impaired or the FWA signal drops.</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r>
              <w:t>3 · Everyday household use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Video calls &amp; remote work</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Usually suitable for calls and remote work when upstream capacity, latency and busy-period consistency are adequate. Heavy simultaneous uploads may expose upstream limits.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Often works well on a strong, stable signal. Upload capacity, latency variation and busy-period consistency matter for frequent video calls and remote work.</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Match the plan’s real upload capacity, latency and consistency to the number of people working or studying from home.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Cloud backup &amp; photo uploads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Cloud backups can be limited by upstream capacity on asymmetrical cable plans. Newer HFC upgrades may improve this materially.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Upload capacity, data policy and busy-period consistency decide how practical large cloud backups and photo/video uploads are.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Estimate your largest regular upload and compare it with the plan’s stated upload rate, data policy and real busy-period performance.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4K streaming &amp; downloads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Often well suited to downstream-heavy use where the plan and local node have adequate capacity. Wi-Fi quality inside the home still matters.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work well on a good signal. Heavy use may encounter data policy or congestion rules, depending on the provider and plan.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Plan for simultaneous streams and downloads across the household, not only one device, and separate ISP limits from in-home Wi-Fi limits.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Online gaming</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work well for gaming when latency and jitter stay low. Local node congestion and in-home Wi-Fi can matter.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work on a strong, stable signal. Latency variation, radio conditions and busy-period load may matter to competitive players.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Test latency and jitter during your usual gaming hours and use Ethernet from the home gateway/router where practical.</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Many devices, smart home &amp; remote access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Supports many devices when the service tier, router and Wi-Fi are adequate. Public/static IP options vary by provider.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Router capability, signal quality and cell capacity matter. Some FWA services use CGNAT or provider-managed gateways that can restrict inbound connections.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Check router/device limits, Wi-Fi capability, bridge/passthrough options and whether public IPv4, IPv6 or static IP is available if you need remote access.</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r>
              <w:t>4 · Availability &amp; installation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Availability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Available where HFC/cable networks have been built and where the provider can serve the exact premises. Footprints vary widely by country, city and neighbourhood.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Depends on address eligibility, radio coverage and spare capacity in the serving cell or sector. A mobile 5G coverage map is not proof that home FWA is orderable.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Check exact-address availability for both services. For FWA, also confirm that the provider accepts the address for a fixed-home product.</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New installation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Where usable coax is already present, installation can be simple. A new drop, outlet, drilling or engineer visit may still be required.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May be self-install with an indoor gateway, or may require an outdoor receiver/antenna and technician visit. Installation model varies by provider.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what work is required, whether external equipment is needed, whether self-install is supported and who is responsible for internal cabling.</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Renters &amp; multi-dwelling buildings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Existing building coax can make installation easier, but landlord/building permission may still be required for new outlets, drilling or external work.</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Indoor gateways are often renter-friendly; external receivers or antennas may require landlord, building-owner or association permission.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Confirm permission requirements before any drilling, exterior cabling, antenna mounting or shared-building changes.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Equipment in your home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Cable modem or gateway, plus a separate router if the gateway does not provide suitable routing/Wi-Fi. Provider compatibility rules may restrict modem choice.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 4G/5G gateway or outdoor receiver plus indoor router/gateway. External antenna support, bridge/passthrough mode and bring-your-own-router options vary.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who owns each device, whether equipment must be returned, whether your own router/modem is supported and what replacement fees apply.</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Time to get connected &amp; portability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be activated quickly where working coax and compatible equipment are already present; new drops or repairs can add time. The service is tied to the cabled premises.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be quick where an indoor gateway is self-installed. Some plans are tied to a registered service address and may not be portable without provider approval.</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Request realistic activation dates and ask whether the service can be moved to another address, what re-qualification is required and whether equipment remains usable.</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r>
              <w:t>5 · Cost, contract &amp; consumer protection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Pricing structure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Pricing varies by provider and region. Introductory offers, bundles, modem/gateway rental and scheduled price changes can materially affect the real monthly cost.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Pricing varies by provider and region. Check promotional periods, equipment charges, price locks and whether plan eligibility depends on other mobile services.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Record the regular monthly price, promotion end date, equipment charges, scheduled increases and any bundle conditions for both services.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Installation &amp; equipment fees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May include activation, technician, new outlet/drop, modem/gateway rental or purchase, shipping and equipment-return fees.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Equipment may be rented, bought or included; outdoor receiver/antenna, technician visit, shipping or return fees may also apply.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Add up all first-year and exit costs, not just the headline monthly fee.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Contract length, trial &amp; exit terms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Contract lengths and exit terms vary. Self-install return windows may exist but are provider-specific.</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Contract terms vary; some FWA providers offer trial/return periods that are especially useful because radio performance is premise-specific.</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Read minimum term, trial/return window, cancellation steps, equipment-return deadlines and any restocking or early-termination fees.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Data limits &amp; network management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Plans may be unlimited or may include fair-use, traffic-management or data policies. Congestion management can affect busy-period experience.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Data allowances, priority data, throttling, traffic management or deprioritisation may apply depending on the provider and plan.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for the exact data and network-management rules, what happens after any threshold, and whether fixed-home traffic can be deprioritised.</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Consumer information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Local rules may require disclosure of prices, speeds, contract terms, data policies and equipment conditions. Formats vary by country.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The same principle applies to FWA, but service eligibility and radio-performance disclosures may be presented differently.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Keep the plan label, contract summary or equivalent disclosure and any address-eligibility result. Rules vary by country.</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r>
              <w:t>6 · Longevity &amp; value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Upgrade path</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DOCSIS/HFC upgrades can involve newer modems, node changes, amplifier/spectrum work, deeper fibre and revised upstream architecture. The coax access family can evolve substantially without becoming FTTP.</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FWA improves as providers add spectrum, cell capacity, backhaul, newer radio equipment and better customer-premises equipment. Results remain local-capacity dependent.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what upgrades the provider has publicly committed to for your area and whether new hardware would be required.</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Future-proofing (editorial view)</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HFC can remain competitive through DOCSIS and network upgrades, but the local coax plant, node design and provider investment shape the long-term path.</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FWA can be a strong long-term option in some locations, but future performance depends on local spectrum, site density, backhaul and provider capacity investment.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Treat “future-proof” as editorial interpretation, not a guarantee. Compare the actual local upgrade path and contract flexibility.</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Energy &amp; environment (editorial view)</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Energy use depends on HFC design, powered outside-plant equipment, network scale and premises equipment.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Energy use depends on cellular network design, serving-site equipment, backhaul and the home gateway/receiver.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Use provider or independently sourced lifecycle/sustainability evidence if environmental impact matters; do not infer superiority from access type alone.</w:t>
            </w:r>
          </w:p>
        </w:tc>
      </w:tr>
    </w:tbl>
    <w:p>
      <w:pPr>
        <w:pStyle w:val="Heading1"/>
        <w:spacing w:after="40" w:before="60"/>
      </w:pPr>
      <w:r>
        <w:rPr>
          <w:rFonts w:ascii="Georgia" w:cs="Georgia" w:eastAsia="Georgia" w:hAnsi="Georgia"/>
          <w:b/>
          <w:bCs/>
          <w:color w:val="0B4A32"/>
          <w:sz w:val="30"/>
          <w:szCs w:val="30"/>
        </w:rPr>
        <w:t xml:space="preserve">Quick fit guide (editorial interpretation)</w:t>
      </w:r>
    </w:p>
    <w:p>
      <w:pPr>
        <w:spacing w:after="40" w:before="60"/>
      </w:pPr>
      <w:r>
        <w:rPr>
          <w:rFonts w:ascii="Calibri" w:cs="Calibri" w:eastAsia="Calibri" w:hAnsi="Calibri"/>
          <w:color w:val="1F2A24"/>
          <w:sz w:val="20"/>
          <w:szCs w:val="20"/>
        </w:rPr>
        <w:t xml:space="preserve">These are general tendencies, not guarantees. Your address, provider and plan decide the real result.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r>
              <w:t>Cable broadband / coax (HFC) tends to suit households that…</w:t>
            </w:r>
          </w:p>
        </w:tc>
        <w:tc>
          <w:tcPr>
            <w:tcW w:type="dxa" w:w="72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r>
              <w:t>4G / 5G fixed wireless access (FWA) tends to suit households that…</w:t>
            </w:r>
          </w:p>
        </w:tc>
      </w:tr>
      <w:tr>
        <w:tc>
          <w:tcPr>
            <w:tcW w:type="dxa" w:w="72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Have a strong local HFC service with suitable download and upload performance.</w:t>
              <w:br/>
              <w:t>Primarily need high downstream capacity but still check upstream needs.</w:t>
              <w:br/>
              <w:t>Value existing coax wiring or a potentially straightforward installation.</w:t>
              <w:br/>
              <w:t>Find cable offers better value, stability or terms at their exact address.</w:t>
            </w:r>
          </w:p>
        </w:tc>
        <w:tc>
          <w:tcPr>
            <w:tcW w:type="dxa" w:w="72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Have a strong, stable radio signal and an address that is eligible for home FWA service.</w:t>
              <w:br/>
              <w:t>Want to avoid a new fixed-line installation or value fast setup and flexibility.</w:t>
              <w:br/>
              <w:t>Can test real busy-period performance and live within any data/network-management policy.</w:t>
              <w:br/>
              <w:t>Find FWA offers better value or availability than local wired options.</w:t>
            </w:r>
          </w:p>
        </w:tc>
      </w:tr>
    </w:tbl>
    <w:p>
      <w:pPr>
        <w:pStyle w:val="Heading1"/>
        <w:spacing w:after="40" w:before="80"/>
      </w:pPr>
      <w:r>
        <w:rPr>
          <w:rFonts w:ascii="Georgia" w:cs="Georgia" w:eastAsia="Georgia" w:hAnsi="Georgia"/>
          <w:b/>
          <w:bCs/>
          <w:color w:val="0B4A32"/>
          <w:sz w:val="30"/>
          <w:szCs w:val="30"/>
        </w:rPr>
        <w:t>Questions to ask before you sign</w:t>
      </w:r>
    </w:p>
    <w:p>
      <w:pPr>
        <w:pStyle w:val="ListParagraph"/>
        <w:numPr>
          <w:ilvl w:val="0"/>
          <w:numId w:val="2"/>
        </w:numPr>
        <w:spacing w:after="0" w:before="0" w:line="240" w:lineRule="auto"/>
      </w:pPr>
      <w:r>
        <w:rPr>
          <w:rFonts w:ascii="Calibri" w:cs="Calibri" w:eastAsia="Calibri" w:hAnsi="Calibri"/>
          <w:color w:val="1F2A24"/>
          <w:sz w:val="14"/>
          <w:szCs w:val="20"/>
        </w:rPr>
        <w:t>Is the wired option cable broadband / HFC, and is the wireless option a genuine fixed 4G/5G home-broadband service at my exact address?</w:t>
      </w:r>
    </w:p>
    <w:p>
      <w:pPr>
        <w:pStyle w:val="ListParagraph"/>
        <w:numPr>
          <w:ilvl w:val="0"/>
          <w:numId w:val="2"/>
        </w:numPr>
        <w:spacing w:after="0" w:before="0" w:line="240" w:lineRule="auto"/>
      </w:pPr>
      <w:r>
        <w:rPr>
          <w:rFonts w:ascii="Calibri" w:cs="Calibri" w:eastAsia="Calibri" w:hAnsi="Calibri"/>
          <w:color w:val="1F2A24"/>
          <w:sz w:val="14"/>
          <w:szCs w:val="20"/>
        </w:rPr>
        <w:t>What are the address-specific download, upload, latency and typical busy-period figures, and which are advertised, typical, minimum or guaranteed?</w:t>
      </w:r>
    </w:p>
    <w:p>
      <w:pPr>
        <w:pStyle w:val="ListParagraph"/>
        <w:numPr>
          <w:ilvl w:val="0"/>
          <w:numId w:val="2"/>
        </w:numPr>
        <w:spacing w:after="0" w:before="0" w:line="240" w:lineRule="auto"/>
      </w:pPr>
      <w:r>
        <w:rPr>
          <w:rFonts w:ascii="Calibri" w:cs="Calibri" w:eastAsia="Calibri" w:hAnsi="Calibri"/>
          <w:color w:val="1F2A24"/>
          <w:sz w:val="14"/>
          <w:szCs w:val="20"/>
        </w:rPr>
        <w:t>For cable, which DOCSIS generation, modem and local node serve the premises? For FWA, which band/network mode serves the premises and how strong is the indoor or outdoor signal?</w:t>
      </w:r>
    </w:p>
    <w:p>
      <w:pPr>
        <w:pStyle w:val="ListParagraph"/>
        <w:numPr>
          <w:ilvl w:val="0"/>
          <w:numId w:val="2"/>
        </w:numPr>
        <w:spacing w:after="0" w:before="0" w:line="240" w:lineRule="auto"/>
      </w:pPr>
      <w:r>
        <w:rPr>
          <w:rFonts w:ascii="Calibri" w:cs="Calibri" w:eastAsia="Calibri" w:hAnsi="Calibri"/>
          <w:color w:val="1F2A24"/>
          <w:sz w:val="14"/>
          <w:szCs w:val="20"/>
        </w:rPr>
        <w:t>What is the regular monthly price after promotions, and are there scheduled price rises, equipment charges or bundled-service conditions?</w:t>
      </w:r>
    </w:p>
    <w:p>
      <w:pPr>
        <w:pStyle w:val="ListParagraph"/>
        <w:numPr>
          <w:ilvl w:val="0"/>
          <w:numId w:val="2"/>
        </w:numPr>
        <w:spacing w:after="0" w:before="0" w:line="240" w:lineRule="auto"/>
      </w:pPr>
      <w:r>
        <w:rPr>
          <w:rFonts w:ascii="Calibri" w:cs="Calibri" w:eastAsia="Calibri" w:hAnsi="Calibri"/>
          <w:color w:val="1F2A24"/>
          <w:sz w:val="14"/>
          <w:szCs w:val="20"/>
        </w:rPr>
        <w:t>What are the installation, activation, equipment rental/ownership and return costs, and does either service require new cabling, an engineer visit or an outdoor receiver/antenna?</w:t>
      </w:r>
    </w:p>
    <w:p>
      <w:pPr>
        <w:pStyle w:val="ListParagraph"/>
        <w:numPr>
          <w:ilvl w:val="0"/>
          <w:numId w:val="2"/>
        </w:numPr>
        <w:spacing w:after="0" w:before="0" w:line="240" w:lineRule="auto"/>
      </w:pPr>
      <w:r>
        <w:rPr>
          <w:rFonts w:ascii="Calibri" w:cs="Calibri" w:eastAsia="Calibri" w:hAnsi="Calibri"/>
          <w:color w:val="1F2A24"/>
          <w:sz w:val="14"/>
          <w:szCs w:val="20"/>
        </w:rPr>
        <w:t>Are there data caps, priority-data limits, throttling, traffic-management or deprioritisation rules?</w:t>
      </w:r>
    </w:p>
    <w:p>
      <w:pPr>
        <w:pStyle w:val="ListParagraph"/>
        <w:numPr>
          <w:ilvl w:val="0"/>
          <w:numId w:val="2"/>
        </w:numPr>
        <w:spacing w:after="0" w:before="0" w:line="240" w:lineRule="auto"/>
      </w:pPr>
      <w:r>
        <w:rPr>
          <w:rFonts w:ascii="Calibri" w:cs="Calibri" w:eastAsia="Calibri" w:hAnsi="Calibri"/>
          <w:color w:val="1F2A24"/>
          <w:sz w:val="14"/>
          <w:szCs w:val="20"/>
        </w:rPr>
        <w:t>Can I use my own router or gateway, and if I need cameras/NAS/remote access does the service offer public IPv4, IPv6, static IP or usable port forwarding?</w:t>
      </w:r>
    </w:p>
    <w:p>
      <w:pPr>
        <w:pStyle w:val="ListParagraph"/>
        <w:numPr>
          <w:ilvl w:val="0"/>
          <w:numId w:val="2"/>
        </w:numPr>
        <w:spacing w:after="0" w:before="0" w:line="240" w:lineRule="auto"/>
      </w:pPr>
      <w:r>
        <w:rPr>
          <w:rFonts w:ascii="Calibri" w:cs="Calibri" w:eastAsia="Calibri" w:hAnsi="Calibri"/>
          <w:color w:val="1F2A24"/>
          <w:sz w:val="14"/>
          <w:szCs w:val="20"/>
        </w:rPr>
        <w:t>What is the local upgrade path: DOCSIS/node/spectrum upgrades for cable, or capacity/spectrum/backhaul upgrades for FWA, and what are the cancellation/return terms if performance is unsuitable?</w:t>
      </w:r>
    </w:p>
    <w:p>
      <w:pPr>
        <w:pStyle w:val="Heading2"/>
        <w:spacing w:after="40" w:before="80"/>
      </w:pPr>
      <w:r>
        <w:rPr>
          <w:rFonts w:ascii="Georgia" w:cs="Georgia" w:eastAsia="Georgia" w:hAnsi="Georgia"/>
          <w:b/>
          <w:bCs/>
          <w:color w:val="0B4A32"/>
          <w:sz w:val="24"/>
          <w:szCs w:val="24"/>
        </w:rPr>
        <w:t>Short glossary</w:t>
      </w:r>
    </w:p>
    <w:p>
      <w:pPr>
        <w:pStyle w:val="ListParagraph"/>
        <w:numPr>
          <w:ilvl w:val="0"/>
          <w:numId w:val="3"/>
        </w:numPr>
        <w:spacing w:after="0" w:before="0" w:line="240" w:lineRule="auto"/>
      </w:pPr>
      <w:r>
        <w:rPr>
          <w:rFonts w:ascii="Calibri" w:cs="Calibri" w:eastAsia="Calibri" w:hAnsi="Calibri"/>
          <w:b/>
          <w:bCs/>
          <w:color w:val="1F2A24"/>
          <w:sz w:val="14"/>
          <w:szCs w:val="20"/>
        </w:rPr>
        <w:t>HFC: hybrid fibre-coax. Fibre runs deep into the provider network; coaxial cable completes the final access segment to the premises.</w:t>
      </w:r>
      <w:r>
        <w:rPr>
          <w:rFonts w:ascii="Calibri" w:cs="Calibri" w:eastAsia="Calibri" w:hAnsi="Calibri"/>
          <w:color w:val="1F2A24"/>
          <w:sz w:val="14"/>
          <w:szCs w:val="20"/>
        </w:rPr>
      </w:r>
    </w:p>
    <w:p>
      <w:pPr>
        <w:pStyle w:val="ListParagraph"/>
        <w:numPr>
          <w:ilvl w:val="0"/>
          <w:numId w:val="3"/>
        </w:numPr>
        <w:spacing w:after="0" w:before="0" w:line="240" w:lineRule="auto"/>
      </w:pPr>
      <w:r>
        <w:rPr>
          <w:rFonts w:ascii="Calibri" w:cs="Calibri" w:eastAsia="Calibri" w:hAnsi="Calibri"/>
          <w:b/>
          <w:bCs/>
          <w:color w:val="1F2A24"/>
          <w:sz w:val="14"/>
          <w:szCs w:val="20"/>
        </w:rPr>
        <w:t>DOCSIS: the cable-broadband standard family used over HFC/coax networks. Network generation and upstream/downstream spectrum design shape capability.</w:t>
      </w:r>
      <w:r>
        <w:rPr>
          <w:rFonts w:ascii="Calibri" w:cs="Calibri" w:eastAsia="Calibri" w:hAnsi="Calibri"/>
          <w:color w:val="1F2A24"/>
          <w:sz w:val="14"/>
          <w:szCs w:val="20"/>
        </w:rPr>
      </w:r>
    </w:p>
    <w:p>
      <w:pPr>
        <w:pStyle w:val="ListParagraph"/>
        <w:numPr>
          <w:ilvl w:val="0"/>
          <w:numId w:val="3"/>
        </w:numPr>
        <w:spacing w:after="0" w:before="0" w:line="240" w:lineRule="auto"/>
      </w:pPr>
      <w:r>
        <w:rPr>
          <w:rFonts w:ascii="Calibri" w:cs="Calibri" w:eastAsia="Calibri" w:hAnsi="Calibri"/>
          <w:b/>
          <w:bCs/>
          <w:color w:val="1F2A24"/>
          <w:sz w:val="14"/>
          <w:szCs w:val="20"/>
        </w:rPr>
        <w:t>Cable modem / gateway: equipment that terminates the HFC/coax broadband connection at the premises; some gateways also provide routing and Wi-Fi.</w:t>
      </w:r>
      <w:r>
        <w:rPr>
          <w:rFonts w:ascii="Calibri" w:cs="Calibri" w:eastAsia="Calibri" w:hAnsi="Calibri"/>
          <w:color w:val="1F2A24"/>
          <w:sz w:val="14"/>
          <w:szCs w:val="20"/>
        </w:rPr>
      </w:r>
    </w:p>
    <w:p>
      <w:pPr>
        <w:pStyle w:val="ListParagraph"/>
        <w:numPr>
          <w:ilvl w:val="0"/>
          <w:numId w:val="3"/>
        </w:numPr>
        <w:spacing w:after="0" w:before="0" w:line="240" w:lineRule="auto"/>
      </w:pPr>
      <w:r>
        <w:rPr>
          <w:rFonts w:ascii="Calibri" w:cs="Calibri" w:eastAsia="Calibri" w:hAnsi="Calibri"/>
          <w:b/>
          <w:bCs/>
          <w:color w:val="1F2A24"/>
          <w:sz w:val="14"/>
          <w:szCs w:val="20"/>
        </w:rPr>
        <w:t>Fixed Wireless Access (FWA): home broadband delivered by radio from a cellular network to a fixed gateway or receiver at the premises.</w:t>
      </w:r>
      <w:r>
        <w:rPr>
          <w:rFonts w:ascii="Calibri" w:cs="Calibri" w:eastAsia="Calibri" w:hAnsi="Calibri"/>
          <w:color w:val="1F2A24"/>
          <w:sz w:val="14"/>
          <w:szCs w:val="20"/>
        </w:rPr>
      </w:r>
    </w:p>
    <w:p>
      <w:pPr>
        <w:pStyle w:val="ListParagraph"/>
        <w:numPr>
          <w:ilvl w:val="0"/>
          <w:numId w:val="3"/>
        </w:numPr>
        <w:spacing w:after="0" w:before="0" w:line="240" w:lineRule="auto"/>
      </w:pPr>
      <w:r>
        <w:rPr>
          <w:rFonts w:ascii="Calibri" w:cs="Calibri" w:eastAsia="Calibri" w:hAnsi="Calibri"/>
          <w:b/>
          <w:bCs/>
          <w:color w:val="1F2A24"/>
          <w:sz w:val="14"/>
          <w:szCs w:val="20"/>
        </w:rPr>
        <w:t>4G / 5G: cellular radio generations. Actual performance depends on band, signal, network mode, cell capacity and provider policy.</w:t>
      </w:r>
      <w:r>
        <w:rPr>
          <w:rFonts w:ascii="Calibri" w:cs="Calibri" w:eastAsia="Calibri" w:hAnsi="Calibri"/>
          <w:color w:val="1F2A24"/>
          <w:sz w:val="14"/>
          <w:szCs w:val="20"/>
        </w:rPr>
      </w:r>
    </w:p>
    <w:p>
      <w:pPr>
        <w:pStyle w:val="ListParagraph"/>
        <w:numPr>
          <w:ilvl w:val="0"/>
          <w:numId w:val="3"/>
        </w:numPr>
        <w:spacing w:after="0" w:before="0" w:line="240" w:lineRule="auto"/>
      </w:pPr>
      <w:r>
        <w:rPr>
          <w:rFonts w:ascii="Calibri" w:cs="Calibri" w:eastAsia="Calibri" w:hAnsi="Calibri"/>
          <w:b/>
          <w:bCs/>
          <w:color w:val="1F2A24"/>
          <w:sz w:val="14"/>
          <w:szCs w:val="20"/>
        </w:rPr>
        <w:t>CGNAT: carrier-grade network address translation. Shared public IPv4 addressing that can restrict inbound connections and conventional port forwarding.</w:t>
      </w:r>
      <w:r>
        <w:rPr>
          <w:rFonts w:ascii="Calibri" w:cs="Calibri" w:eastAsia="Calibri" w:hAnsi="Calibri"/>
          <w:color w:val="1F2A24"/>
          <w:sz w:val="14"/>
          <w:szCs w:val="20"/>
        </w:rPr>
      </w:r>
    </w:p>
    <w:p>
      <w:pPr>
        <w:pStyle w:val="ListParagraph"/>
        <w:numPr>
          <w:ilvl w:val="0"/>
          <w:numId w:val="3"/>
        </w:numPr>
        <w:spacing w:after="0" w:before="0" w:line="240" w:lineRule="auto"/>
      </w:pPr>
      <w:r>
        <w:rPr>
          <w:rFonts w:ascii="Calibri" w:cs="Calibri" w:eastAsia="Calibri" w:hAnsi="Calibri"/>
          <w:b/>
          <w:bCs/>
          <w:color w:val="1F2A24"/>
          <w:sz w:val="14"/>
          <w:szCs w:val="20"/>
        </w:rPr>
        <w:t>Latency / jitter: delay in the connection, and how much that delay varies.</w:t>
      </w:r>
      <w:r>
        <w:rPr>
          <w:rFonts w:ascii="Calibri" w:cs="Calibri" w:eastAsia="Calibri" w:hAnsi="Calibri"/>
          <w:color w:val="1F2A24"/>
          <w:sz w:val="14"/>
          <w:szCs w:val="20"/>
        </w:rPr>
      </w:r>
    </w:p>
    <w:p>
      <w:pPr>
        <w:pBdr>
          <w:top w:val="single" w:color="B8860B" w:sz="6" w:space="6"/>
        </w:pBdr>
        <w:spacing w:before="40" w:after="0"/>
      </w:pPr>
      <w:r>
        <w:rPr>
          <w:rFonts w:ascii="Calibri" w:cs="Calibri" w:eastAsia="Calibri" w:hAnsi="Calibri"/>
          <w:i/>
          <w:iCs/>
          <w:color w:val="5B6660"/>
          <w:sz w:val="14"/>
          <w:szCs w:val="18"/>
        </w:rPr>
        <w:t>This document is general information, not a lab test or a provider recommendation. Verify technology, signal/network conditions, speeds, latency, prices, data and network-management terms, equipment, address eligibility and upgrade plans with the provider for your exact premises.</w:t>
      </w:r>
    </w:p>
    <w:sectPr>
      <w:headerReference w:type="default" r:id="rId7"/>
      <w:footerReference w:type="default" r:id="rId8"/>
      <w:pgSz w:w="15840" w:h="12240" w:orient="landscape"/>
      <w:pgMar w:top="10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00"/>
      </w:tabs>
    </w:pPr>
    <w:r>
      <w:rPr>
        <w:rFonts w:ascii="Calibri" w:cs="Calibri" w:eastAsia="Calibri" w:hAnsi="Calibri"/>
        <w:color w:val="5B6660"/>
        <w:sz w:val="16"/>
        <w:szCs w:val="16"/>
      </w:rPr>
      <w:t xml:space="preserve">ONOCRA · Independent, evidence-first technology guidance for households</w:t>
    </w:r>
    <w:r>
      <w:rPr>
        <w:rFonts w:ascii="Calibri" w:cs="Calibri" w:eastAsia="Calibri" w:hAnsi="Calibri"/>
        <w:color w:val="5B6660"/>
        <w:sz w:val="16"/>
        <w:szCs w:val="16"/>
      </w:rPr>
      <w:t xml:space="preserve">	Page </w:t>
    </w:r>
    <w:r>
      <w:rPr>
        <w:rFonts w:ascii="Calibri" w:cs="Calibri" w:eastAsia="Calibri" w:hAnsi="Calibri"/>
        <w:color w:val="5B66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8" w:space="4"/>
      </w:pBdr>
      <w:tabs>
        <w:tab w:val="right" w:pos="14400"/>
      </w:tabs>
    </w:pPr>
    <w:r>
      <w:t xml:space="preserve">  ONOCRA</w:t>
      <w:tab/>
      <w:t>Home Internet &amp; Wi-Fi · Broadband comparison</w:t>
    </w:r>
    <w:r>
      <w:rPr>
        <w:rFonts w:ascii="Georgia" w:cs="Georgia" w:eastAsia="Georgia" w:hAnsi="Georgia"/>
        <w:b/>
        <w:bCs/>
        <w:color w:val="0B4A32"/>
        <w:sz w:val="24"/>
        <w:szCs w:val="24"/>
      </w:rPr>
    </w:r>
    <w:r>
      <w:rPr>
        <w:rFonts w:ascii="Calibri" w:cs="Calibri" w:eastAsia="Calibri" w:hAnsi="Calibri"/>
        <w:color w:val="5B6660"/>
        <w:sz w:val="18"/>
        <w:szCs w:val="18"/>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eorgia" w:cs="Georgia" w:eastAsia="Georgia" w:hAnsi="Georgia"/>
      <w:b/>
      <w:bCs/>
      <w:color w:val="0B4A32"/>
      <w:sz w:val="30"/>
      <w:szCs w:val="30"/>
    </w:rPr>
  </w:style>
  <w:style w:type="paragraph" w:styleId="Heading2">
    <w:name w:val="Heading 2"/>
    <w:basedOn w:val="Normal"/>
    <w:next w:val="Normal"/>
    <w:qFormat/>
    <w:pPr>
      <w:outlineLvl w:val="1"/>
    </w:pPr>
    <w:rPr>
      <w:rFonts w:ascii="Georgia" w:cs="Georgia" w:eastAsia="Georgia" w:hAnsi="Georgia"/>
      <w:b/>
      <w:bCs/>
      <w:color w:val="0B4A32"/>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be15637335247804c27bdd64134cf0620f0f74b.png"/><Relationship Id="rId10"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7be15637335247804c27bdd64134cf0620f0f74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ONOCRA</dc:creator>
  <cp:lastModifiedBy>Un-named</cp:lastModifiedBy>
  <cp:revision>1</cp:revision>
  <dcterms:created xsi:type="dcterms:W3CDTF">2026-10-19T16:08:43.229Z</dcterms:created>
  <dcterms:modified xsi:type="dcterms:W3CDTF">2026-10-19T16:08:43.235Z</dcterms:modified>
  <dc:title>DSL / Copper Broadband vs. 4G / 5G Fixed Wireless Access (FWA)</dc:title>
  <dc:subject>ONOCRA household broadband comparison guide</dc:subject>
  <cp:keywords>ONOCRA, FTTP, full fibre, cable broadband, coax, HFC, DOCSIS, home internet, comparison</cp:keywords>
  <dc:description>Canonical ONOCRA comparison guide.</dc:description>
</cp:coreProperties>
</file>

<file path=docProps/custom.xml><?xml version="1.0" encoding="utf-8"?>
<Properties xmlns="http://schemas.openxmlformats.org/officeDocument/2006/custom-properties" xmlns:vt="http://schemas.openxmlformats.org/officeDocument/2006/docPropsVTypes"/>
</file>