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pPr>
      <w:r>
        <w:drawing>
          <wp:inline distT="0" distB="0" distL="0" distR="0">
            <wp:extent cx="800100" cy="781050"/>
            <wp:effectExtent t="0" r="0" b="0" l="0"/>
            <wp:docPr id="1" name="logo2" descr="ONOCRA signature logo" title="ONO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00100" cy="781050"/>
                    </a:xfrm>
                    <a:prstGeom prst="rect">
                      <a:avLst/>
                    </a:prstGeom>
                  </pic:spPr>
                </pic:pic>
              </a:graphicData>
            </a:graphic>
          </wp:inline>
        </w:drawing>
      </w:r>
    </w:p>
    <w:p>
      <w:pPr>
        <w:spacing w:after="40"/>
      </w:pPr>
      <w:r>
        <w:rPr>
          <w:rFonts w:ascii="Georgia" w:cs="Georgia" w:eastAsia="Georgia" w:hAnsi="Georgia"/>
          <w:b/>
          <w:bCs/>
          <w:color w:val="0B4A32"/>
          <w:sz w:val="44"/>
          <w:szCs w:val="44"/>
        </w:rPr>
        <w:t>Full Fibre (FTTP) vs. 4G / 5G Fixed Wireless Access (FWA)</w:t>
      </w:r>
    </w:p>
    <w:p>
      <w:pPr>
        <w:pBdr>
          <w:bottom w:val="single" w:color="F26B0F" w:sz="12" w:space="6"/>
        </w:pBdr>
        <w:spacing w:after="160"/>
      </w:pPr>
      <w:r>
        <w:rPr>
          <w:rFonts w:ascii="Calibri" w:cs="Calibri" w:eastAsia="Calibri" w:hAnsi="Calibri"/>
          <w:color w:val="5B6660"/>
          <w:sz w:val="24"/>
          <w:szCs w:val="24"/>
        </w:rPr>
        <w:t xml:space="preserve">An ONOCRA comparison framework for household broadband choices</w:t>
      </w:r>
    </w:p>
    <w:p>
      <w:pPr>
        <w:spacing w:after="60"/>
      </w:pPr>
      <w:r>
        <w:rPr>
          <w:rFonts w:ascii="Calibri" w:cs="Calibri" w:eastAsia="Calibri" w:hAnsi="Calibri"/>
          <w:color w:val="1F2A24"/>
          <w:sz w:val="20"/>
          <w:szCs w:val="20"/>
        </w:rPr>
        <w:t>This guide compares a wired and a wireless home internet type: full fibre to the premises (FTTP) and 4G / 5G fixed wireless access (FWA), where fixed home equipment connects by radio to a cellular network. It helps you decide which questions matter before you choose a provider or plan.</w:t>
      </w:r>
    </w:p>
    <w:p>
      <w:pPr>
        <w:spacing w:after="60"/>
      </w:pPr>
      <w:r>
        <w:rPr>
          <w:rFonts w:ascii="Calibri" w:cs="Calibri" w:eastAsia="Calibri" w:hAnsi="Calibri"/>
          <w:b/>
          <w:bCs/>
          <w:color w:val="0B4A32"/>
          <w:sz w:val="20"/>
          <w:szCs w:val="20"/>
        </w:rPr>
        <w:t xml:space="preserve">How to read it. </w:t>
      </w:r>
      <w:r>
        <w:rPr>
          <w:rFonts w:ascii="Calibri" w:cs="Calibri" w:eastAsia="Calibri" w:hAnsi="Calibri"/>
          <w:color w:val="1F2A24"/>
          <w:sz w:val="20"/>
          <w:szCs w:val="20"/>
        </w:rPr>
        <w:t xml:space="preserve">Neither technology is “better” in every case. Each row explains what the technology can offer, where limits may apply, and what you should check for your own address and plan. This is qualitative technical context only. These are not measured provider or product results, and we do not publish invented prices or scores. Speeds, prices and availability differ by provider, region and plan.</w:t>
      </w:r>
    </w:p>
    <w:p>
      <w:pPr>
        <w:pStyle w:val="Heading2"/>
        <w:spacing w:after="100" w:before="240"/>
      </w:pPr>
      <w:r>
        <w:rPr>
          <w:rFonts w:ascii="Georgia" w:cs="Georgia" w:eastAsia="Georgia" w:hAnsi="Georgia"/>
          <w:b/>
          <w:bCs/>
          <w:color w:val="0B4A32"/>
          <w:sz w:val="24"/>
          <w:szCs w:val="24"/>
        </w:rPr>
        <w:t xml:space="preserve">Evidence key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400"/>
        <w:gridCol w:w="11000"/>
      </w:tblGrid>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Provider claim</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What the provider or manufacturer says. Useful, but verify it.</w:t>
            </w:r>
          </w:p>
        </w:tc>
      </w:tr>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Independent testing</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Measurements by third parties. Check the date, location and method.</w:t>
            </w:r>
          </w:p>
        </w:tc>
      </w:tr>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Editorial interpretation</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ONOCRA’s reading of the evidence. Marked as such, never presented as a measurement.</w:t>
            </w:r>
          </w:p>
        </w:tc>
      </w:tr>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Unverified</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No reliable evidence found yet. We say so rather than guess.</w:t>
            </w:r>
          </w:p>
        </w:tc>
      </w:tr>
    </w:tbl>
    <w:p>
      <w:pPr>
        <w:pageBreakBefore/>
      </w:pPr>
    </w:p>
    <w:p>
      <w:pPr>
        <w:pStyle w:val="Heading1"/>
        <w:spacing w:after="100" w:before="240"/>
      </w:pPr>
      <w:r>
        <w:rPr>
          <w:rFonts w:ascii="Georgia" w:cs="Georgia" w:eastAsia="Georgia" w:hAnsi="Georgia"/>
          <w:b/>
          <w:bCs/>
          <w:color w:val="0B4A32"/>
          <w:sz w:val="30"/>
          <w:szCs w:val="30"/>
        </w:rPr>
        <w:t xml:space="preserve">Full comparison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4100"/>
        <w:gridCol w:w="4100"/>
      </w:tblGrid>
      <w:tr>
        <w:trPr>
          <w:tblHeader/>
        </w:trPr>
        <w:tc>
          <w:tcPr>
            <w:tcW w:type="dxa" w:w="2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pPr>
              <w:spacing w:after="0"/>
            </w:pPr>
            <w:r>
              <w:rPr>
                <w:rFonts w:ascii="Calibri" w:cs="Calibri" w:eastAsia="Calibri" w:hAnsi="Calibri"/>
                <w:b/>
                <w:bCs/>
                <w:color w:val="FFFFFF"/>
                <w:sz w:val="21"/>
                <w:szCs w:val="21"/>
              </w:rPr>
              <w:t xml:space="preserve">Factor</w:t>
            </w:r>
          </w:p>
        </w:tc>
        <w:tc>
          <w:tcPr>
            <w:tcW w:type="dxa" w:w="4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pPr>
              <w:spacing w:after="0"/>
            </w:pPr>
            <w:r>
              <w:rPr>
                <w:rFonts w:ascii="Calibri" w:cs="Calibri" w:eastAsia="Calibri" w:hAnsi="Calibri"/>
                <w:b/>
                <w:bCs/>
                <w:color w:val="FFFFFF"/>
                <w:sz w:val="21"/>
                <w:szCs w:val="21"/>
              </w:rPr>
              <w:t xml:space="preserve">Full fibre / FTTP</w:t>
            </w:r>
          </w:p>
        </w:tc>
        <w:tc>
          <w:tcPr>
            <w:tcW w:type="dxa" w:w="4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r>
              <w:t>4G / 5G fixed wireless access (FWA)</w:t>
            </w:r>
          </w:p>
        </w:tc>
        <w:tc>
          <w:tcPr>
            <w:tcW w:type="dxa" w:w="4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pPr>
              <w:spacing w:after="0"/>
            </w:pPr>
            <w:r>
              <w:rPr>
                <w:rFonts w:ascii="Calibri" w:cs="Calibri" w:eastAsia="Calibri" w:hAnsi="Calibri"/>
                <w:b/>
                <w:bCs/>
                <w:color w:val="FFFFFF"/>
                <w:sz w:val="21"/>
                <w:szCs w:val="21"/>
              </w:rPr>
              <w:t xml:space="preserve">What to verify</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keepNext/>
              <w:spacing w:after="0"/>
            </w:pPr>
            <w:r>
              <w:rPr>
                <w:rFonts w:ascii="Calibri" w:cs="Calibri" w:eastAsia="Calibri" w:hAnsi="Calibri"/>
                <w:b/>
                <w:bCs/>
                <w:color w:val="0B4A32"/>
                <w:sz w:val="22"/>
                <w:szCs w:val="22"/>
              </w:rPr>
              <w:t xml:space="preserve">1 · Technology &amp; network design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How it works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Light signals travel over fibre-optic cable all the way to the premises.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A fixed home gateway or outdoor receiver connects by radio to a 4G or 5G cellular network. The service may use a SIM or equivalent provider authentication.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Ask whether the service uses 4G, 5G or both at your address, and which tower or cell area serves you.</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Network generation / standard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FTTP is an access method, not a speed tier. The equipment generation (for example GPON or XGS-PON) and the plan you buy determine what you get.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4G and 5G differ. 5G can use different radio bands and standalone or non-standalone network modes. A 5G-capable gateway does not guarantee a 5G signal, a particular band or a particular measured speed at your home.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Ask which band and network mode serve your address and whether 4G fallback is likely.</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Shared vs. dedicated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Many consumer FTTP services share upstream optical capacity among a group of premises. Capacity, split design and contention vary by provider and network.</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Radio capacity is shared with other users in the serving cell or sector and, on some networks, with mobile users. Available capacity can vary by place and time.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Look for independent measurements for your area at evening peak, not only provider claims.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Signal path &amp; environment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Light in glass is not affected by radio interference or most weather conditions.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Distance to the serving site, walls, windows, terrain, foliage and radio frequency can change signal quality. Higher-frequency signals are generally more sensitive to obstruction.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Ask for an address-specific coverage check and how the provider tests indoor signal.</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Spectrum &amp; network management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Not applicable to the access line.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The provider manages shared radio spectrum and network capacity. Traffic-management or prioritisation policies may apply, depending on the provider, plan and congestion conditions.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Check the plan’s network-management, prioritisation and fair-use terms, especially for busy periods.</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keepNext/>
              <w:spacing w:after="0"/>
            </w:pPr>
            <w:r>
              <w:rPr>
                <w:rFonts w:ascii="Calibri" w:cs="Calibri" w:eastAsia="Calibri" w:hAnsi="Calibri"/>
                <w:b/>
                <w:bCs/>
                <w:color w:val="0B4A32"/>
                <w:sz w:val="22"/>
                <w:szCs w:val="22"/>
              </w:rPr>
              <w:t xml:space="preserve">2 · Speed &amp; performance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Download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Can support very high download tiers, depending on equipment and plan.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Can offer high download speeds where the signal is strong. Results vary widely by location and time.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Check the provider’s typical and minimum speed information for your plan and address.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Upload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Can support strong upload capacity, and on some services upload matches download when properly provisioned.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Upload is often lower than download and depends on signal strength and cell load.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Look for the stated upload figure and test it with a trial if possible.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Latency &amp; jitter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Generally low and steady in typical conditions.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Can be low on a good signal, but may vary with signal quality and network load.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Compare independent tests at different times of day, and test during any trial.</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Peak-time consistency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Usually steady when the network is well provisioned.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Depends on tower load, signal and provider policies. Evening and event periods may differ.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Ask whether the provider publishes typical evening-hour performance.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Stability &amp; reliability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Usually steady once installed. The in-home ONT needs power.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Can be affected by changes in the radio environment, cell load, maintenance or outages. The home gateway needs power, and service also depends on the serving network site and backhaul.</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Ask about outage handling and what happens if the signal drops.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Indoor placement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Not significant for the line. Wi-Fi placement still matters.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Gateway placement can change results significantly. Window position, height and, where supported, an outdoor receiver or external antenna may improve the radio link.</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Ask whether you can try different placements during a trial.</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keepNext/>
              <w:spacing w:after="0"/>
            </w:pPr>
            <w:r>
              <w:rPr>
                <w:rFonts w:ascii="Calibri" w:cs="Calibri" w:eastAsia="Calibri" w:hAnsi="Calibri"/>
                <w:b/>
                <w:bCs/>
                <w:color w:val="0B4A32"/>
                <w:sz w:val="22"/>
                <w:szCs w:val="22"/>
              </w:rPr>
              <w:t xml:space="preserve">3 · Everyday household use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Video calls &amp; remote work</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Strong upload and stable connection help calls, screen sharing and large uploads.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Often fine on a strong signal. Upload and jitter matter for frequent video calls.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Test calls at your busiest working hours during the trial period.</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Cloud backup &amp; photo uploads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Higher upload shortens large backups.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Upload speed and any data limit decide how practical large backups are.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Estimate your monthly upload volume and compare it to the data policy.</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4K streaming &amp; downloads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Well suited, depending on plan and Wi-Fi quality.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Can work well on a good signal. Heavy use may meet data limits or congestion rules.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Estimate monthly data use for all streams and downloads.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Online gaming</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Low, steady latency is helpful. Wi-Fi often matters more than the line.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Can work on a strong, stable signal. Latency variation may matter to competitive players.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Test latency in your usual gaming hours during the trial.</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Many devices / smart home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Handles many connected devices well when the router and Wi-Fi are good.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The broadband link may be adequate, but the gateway’s Wi-Fi, Ethernet ports and overall device-handling capability still matter inside the home.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Check the gateway’s device and Wi-Fi capabilities.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Hosting, port forwarding &amp; static IP</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Often available, depending on provider and plan.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Some FWA services use carrier-grade NAT (CGNAT) or other shared-addressing arrangements, which can limit inbound connections, port forwarding, remote access or self-hosting.</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Ask whether the service provides a public IPv4 address, IPv6, a static-IP option, or any restrictions on inbound connections if you need them.</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keepNext/>
              <w:spacing w:after="0"/>
            </w:pPr>
            <w:r>
              <w:rPr>
                <w:rFonts w:ascii="Calibri" w:cs="Calibri" w:eastAsia="Calibri" w:hAnsi="Calibri"/>
                <w:b/>
                <w:bCs/>
                <w:color w:val="0B4A32"/>
                <w:sz w:val="22"/>
                <w:szCs w:val="22"/>
              </w:rPr>
              <w:t xml:space="preserve">4 · Availability &amp; installation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Availability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Depends on whether the provider has built fibre to your street or building.</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Depends on address-level radio coverage, serving-cell capacity and the provider’s eligibility rules. A coverage map is only a guide to what may work at the premises.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Check availability for your exact address, not just your postcode or ZIP code.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New installation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May need permission, access or building work.</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May avoid a new fixed line. Some services are self-install; others may use an outdoor receiver, external antenna or technician installation.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Ask whether self-install, an outdoor antenna or a technician visit is expected.</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Renters &amp; multi-dwelling buildings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Landlord, building owner or association permission may be needed.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Can require little building work when an indoor gateway is sufficient. Outdoor equipment, drilling or shared-building installations may still require permission.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Ask your landlord before fitting any external equipment.</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Equipment in your home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Fibre terminal (ONT) plus a router. Some providers combine them.</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An indoor 4G/5G gateway or, on some services, outdoor customer equipment connected to an indoor router. Provider rules on external antennas and third-party routers vary.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Ask about antenna options, router choice and equipment return terms.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Service address &amp; portability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Tied to the connected premises.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Some plans are tied to a registered service address. Check whether you can move the device.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Ask whether the service works at another address and whether that is allowed.</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Time to get connected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Can take longer where building work is needed.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Often quick where self-install is possible.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Request the delivery and activation date in writing.</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keepNext/>
              <w:spacing w:after="0"/>
            </w:pPr>
            <w:r>
              <w:rPr>
                <w:rFonts w:ascii="Calibri" w:cs="Calibri" w:eastAsia="Calibri" w:hAnsi="Calibri"/>
                <w:b/>
                <w:bCs/>
                <w:color w:val="0B4A32"/>
                <w:sz w:val="22"/>
                <w:szCs w:val="22"/>
              </w:rPr>
              <w:t xml:space="preserve">5 · Cost, contract &amp; consumer protection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Pricing structure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Plans vary by provider and region. Compare after promotional periods end.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Pricing varies by provider and region. Compare the introductory price, regular price, equipment charges, any price-lock period and later price changes.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Record the monthly price now, after the offer ends, and any yearly price rises.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Data limits &amp; data policy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Often unlimited, but check the fair-use terms.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Data allowances, priority data, throttling or fair-use rules may apply.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Ask for the exact data limit and what changes after it is reached.</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Trial &amp; cancellation terms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Contract lengths vary. Check early termination terms.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Some providers offer trial periods. Check the trial length and return conditions.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Read the trial, return and cancellation steps before you agree.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Installation &amp; equipment fees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May include installation or activation costs.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Equipment may be rented, bought or included. Check return and fees.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Add up setup fees, equipment and return costs.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Consumer information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US broadband providers are generally subject to FCC Broadband Consumer Label rules. UK and EU providers have their own pre-contract, speed and contract-information requirements.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The same consumer-information principle applies to fixed wireless broadband, but the exact disclosures and terminology depend on the country and provider.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Ask for the current official broadband label, contract summary or equivalent pre-contract information, and keep a copy. Verify the rules for your country.</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keepNext/>
              <w:spacing w:after="0"/>
            </w:pPr>
            <w:r>
              <w:rPr>
                <w:rFonts w:ascii="Calibri" w:cs="Calibri" w:eastAsia="Calibri" w:hAnsi="Calibri"/>
                <w:b/>
                <w:bCs/>
                <w:color w:val="0B4A32"/>
                <w:sz w:val="22"/>
                <w:szCs w:val="22"/>
              </w:rPr>
              <w:t xml:space="preserve">6 · Longevity &amp; value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Upgrade path</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Upgrades often come from changing equipment at the ends of the same fibre.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Performance can improve as providers add spectrum, site capacity, backhaul or newer radio equipment, but upgrades depend on the operator’s local network plan and may not reach every address equally.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Ask what network upgrades the provider has publicly committed to for your area.</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Future-proofing (editorial view)</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Often regarded as a long-lived access method, though the plan and equipment still matter.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Can be a flexible alternative where fixed-line deployment is limited or slow. Long-term capability depends on local spectrum, cell capacity, backhaul and provider investment.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Treat this as editorial interpretation, not a guarantee.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Energy &amp; environment (editorial view)</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Fibre is often described as energy-efficient, but evidence varies by network.</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Depends on the cellular network and device. Evidence is mixed.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Look for the provider’s published sustainability information.</w:t>
            </w:r>
          </w:p>
        </w:tc>
      </w:tr>
    </w:tbl>
    <w:p>
      <w:pPr>
        <w:pStyle w:val="Heading1"/>
        <w:spacing w:after="100" w:before="240"/>
      </w:pPr>
      <w:r>
        <w:rPr>
          <w:rFonts w:ascii="Georgia" w:cs="Georgia" w:eastAsia="Georgia" w:hAnsi="Georgia"/>
          <w:b/>
          <w:bCs/>
          <w:color w:val="0B4A32"/>
          <w:sz w:val="30"/>
          <w:szCs w:val="30"/>
        </w:rPr>
        <w:t xml:space="preserve">Quick fit guide (editorial interpretation)</w:t>
      </w:r>
    </w:p>
    <w:p>
      <w:pPr>
        <w:spacing w:after="60"/>
      </w:pPr>
      <w:r>
        <w:rPr>
          <w:rFonts w:ascii="Calibri" w:cs="Calibri" w:eastAsia="Calibri" w:hAnsi="Calibri"/>
          <w:color w:val="1F2A24"/>
          <w:sz w:val="20"/>
          <w:szCs w:val="20"/>
        </w:rPr>
        <w:t xml:space="preserve">These are general tendencies, not guarantees. Your address, provider and plan decide the real result.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Full fibre / FTTP tends to suit households that…</w:t>
            </w:r>
          </w:p>
        </w:tc>
        <w:tc>
          <w:tcPr>
            <w:tcW w:type="dxa" w:w="72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r>
              <w:t>4G / 5G fixed wireless access (FWA) tends to suit households that…</w:t>
            </w:r>
          </w:p>
        </w:tc>
      </w:tr>
      <w:tr>
        <w:tc>
          <w:tcPr>
            <w:tcW w:type="dxa" w:w="72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Upload a lot: backups, video, content creation, remote work.</w:t>
            </w:r>
          </w:p>
          <w:p>
            <w:pPr>
              <w:spacing w:after="40"/>
            </w:pPr>
            <w:r>
              <w:rPr>
                <w:rFonts w:ascii="Calibri" w:cs="Calibri" w:eastAsia="Calibri" w:hAnsi="Calibri"/>
                <w:color w:val="1F2A24"/>
                <w:sz w:val="20"/>
                <w:szCs w:val="20"/>
              </w:rPr>
              <w:t xml:space="preserve">Have several people on calls or streams at once.</w:t>
            </w:r>
          </w:p>
          <w:p>
            <w:pPr>
              <w:spacing w:after="40"/>
            </w:pPr>
            <w:r>
              <w:rPr>
                <w:rFonts w:ascii="Calibri" w:cs="Calibri" w:eastAsia="Calibri" w:hAnsi="Calibri"/>
                <w:color w:val="1F2A24"/>
                <w:sz w:val="20"/>
                <w:szCs w:val="20"/>
              </w:rPr>
              <w:t xml:space="preserve">Want a long-lived connection and can wait for installation.</w:t>
            </w:r>
          </w:p>
          <w:p>
            <w:pPr>
              <w:spacing w:after="40"/>
            </w:pPr>
            <w:r>
              <w:rPr>
                <w:rFonts w:ascii="Calibri" w:cs="Calibri" w:eastAsia="Calibri" w:hAnsi="Calibri"/>
                <w:color w:val="1F2A24"/>
                <w:sz w:val="20"/>
                <w:szCs w:val="20"/>
              </w:rPr>
              <w:t xml:space="preserve">Live where fibre is available at a comparable price.</w:t>
            </w:r>
          </w:p>
        </w:tc>
        <w:tc>
          <w:tcPr>
            <w:tcW w:type="dxa" w:w="72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Want to avoid a new fixed line and have a workable address-level radio signal.</w:t>
              <w:br/>
              <w:t>Live where fibre is not yet available.</w:t>
              <w:br/>
              <w:t>Can obtain a strong, stable indoor or outdoor-assisted signal.</w:t>
              <w:br/>
              <w:t>Can live within the plan’s data policy and trial terms.</w:t>
            </w:r>
          </w:p>
          <w:p>
            <w:pPr>
              <w:spacing w:after="40"/>
            </w:pPr>
            <w:r>
              <w:rPr>
                <w:rFonts w:ascii="Calibri" w:cs="Calibri" w:eastAsia="Calibri" w:hAnsi="Calibri"/>
                <w:color w:val="1F2A24"/>
                <w:sz w:val="20"/>
                <w:szCs w:val="20"/>
              </w:rPr>
            </w:r>
          </w:p>
          <w:p>
            <w:pPr>
              <w:spacing w:after="40"/>
            </w:pPr>
            <w:r>
              <w:rPr>
                <w:rFonts w:ascii="Calibri" w:cs="Calibri" w:eastAsia="Calibri" w:hAnsi="Calibri"/>
                <w:color w:val="1F2A24"/>
                <w:sz w:val="20"/>
                <w:szCs w:val="20"/>
              </w:rPr>
            </w:r>
          </w:p>
          <w:p>
            <w:pPr>
              <w:spacing w:after="40"/>
            </w:pPr>
            <w:r>
              <w:rPr>
                <w:rFonts w:ascii="Calibri" w:cs="Calibri" w:eastAsia="Calibri" w:hAnsi="Calibri"/>
                <w:color w:val="1F2A24"/>
                <w:sz w:val="20"/>
                <w:szCs w:val="20"/>
              </w:rPr>
            </w:r>
          </w:p>
        </w:tc>
      </w:tr>
    </w:tbl>
    <w:p>
      <w:pPr>
        <w:pStyle w:val="Heading1"/>
        <w:spacing w:after="100" w:before="240"/>
      </w:pPr>
      <w:r>
        <w:rPr>
          <w:rFonts w:ascii="Georgia" w:cs="Georgia" w:eastAsia="Georgia" w:hAnsi="Georgia"/>
          <w:b/>
          <w:bCs/>
          <w:color w:val="0B4A32"/>
          <w:sz w:val="30"/>
          <w:szCs w:val="30"/>
        </w:rPr>
        <w:t xml:space="preserve">Questions to ask before you sign</w:t>
      </w:r>
    </w:p>
    <w:p>
      <w:pPr>
        <w:pStyle w:val="ListParagraph"/>
        <w:numPr>
          <w:ilvl w:val="0"/>
          <w:numId w:val="2"/>
        </w:numPr>
        <w:spacing w:after="50"/>
      </w:pPr>
      <w:r>
        <w:rPr>
          <w:rFonts w:ascii="Calibri" w:cs="Calibri" w:eastAsia="Calibri" w:hAnsi="Calibri"/>
          <w:color w:val="1F2A24"/>
          <w:sz w:val="20"/>
          <w:szCs w:val="20"/>
        </w:rPr>
        <w:t xml:space="preserve">Is the service 4G, 5G or both at my address, and how strong is the signal indoors?</w:t>
      </w:r>
    </w:p>
    <w:p>
      <w:pPr>
        <w:pStyle w:val="ListParagraph"/>
        <w:numPr>
          <w:ilvl w:val="0"/>
          <w:numId w:val="2"/>
        </w:numPr>
        <w:spacing w:after="50"/>
      </w:pPr>
      <w:r>
        <w:rPr>
          <w:rFonts w:ascii="Calibri" w:cs="Calibri" w:eastAsia="Calibri" w:hAnsi="Calibri"/>
          <w:color w:val="1F2A24"/>
          <w:sz w:val="20"/>
          <w:szCs w:val="20"/>
        </w:rPr>
        <w:t xml:space="preserve">What are the download and upload speeds, and which are guaranteed, typical or “up to”?</w:t>
      </w:r>
    </w:p>
    <w:p>
      <w:pPr>
        <w:pStyle w:val="ListParagraph"/>
        <w:numPr>
          <w:ilvl w:val="0"/>
          <w:numId w:val="2"/>
        </w:numPr>
        <w:spacing w:after="50"/>
      </w:pPr>
      <w:r>
        <w:rPr>
          <w:rFonts w:ascii="Calibri" w:cs="Calibri" w:eastAsia="Calibri" w:hAnsi="Calibri"/>
          <w:color w:val="1F2A24"/>
          <w:sz w:val="20"/>
          <w:szCs w:val="20"/>
        </w:rPr>
        <w:t xml:space="preserve">What is the price now, after the promotion, and after yearly rises?</w:t>
      </w:r>
    </w:p>
    <w:p>
      <w:pPr>
        <w:pStyle w:val="ListParagraph"/>
        <w:numPr>
          <w:ilvl w:val="0"/>
          <w:numId w:val="2"/>
        </w:numPr>
        <w:spacing w:after="50"/>
      </w:pPr>
      <w:r>
        <w:rPr>
          <w:rFonts w:ascii="Calibri" w:cs="Calibri" w:eastAsia="Calibri" w:hAnsi="Calibri"/>
          <w:color w:val="1F2A24"/>
          <w:sz w:val="20"/>
          <w:szCs w:val="20"/>
        </w:rPr>
        <w:t xml:space="preserve">What are the setup, equipment and exit fees?</w:t>
      </w:r>
    </w:p>
    <w:p>
      <w:pPr>
        <w:pStyle w:val="ListParagraph"/>
        <w:numPr>
          <w:ilvl w:val="0"/>
          <w:numId w:val="2"/>
        </w:numPr>
        <w:spacing w:after="50"/>
      </w:pPr>
      <w:r>
        <w:rPr>
          <w:rFonts w:ascii="Calibri" w:cs="Calibri" w:eastAsia="Calibri" w:hAnsi="Calibri"/>
          <w:color w:val="1F2A24"/>
          <w:sz w:val="20"/>
          <w:szCs w:val="20"/>
        </w:rPr>
        <w:t xml:space="preserve">What are the data limits, priority rules and trial terms?</w:t>
      </w:r>
    </w:p>
    <w:p>
      <w:pPr>
        <w:pStyle w:val="ListParagraph"/>
        <w:numPr>
          <w:ilvl w:val="0"/>
          <w:numId w:val="2"/>
        </w:numPr>
        <w:spacing w:after="50"/>
      </w:pPr>
      <w:r>
        <w:rPr>
          <w:rFonts w:ascii="Calibri" w:cs="Calibri" w:eastAsia="Calibri" w:hAnsi="Calibri"/>
          <w:color w:val="1F2A24"/>
          <w:sz w:val="20"/>
          <w:szCs w:val="20"/>
        </w:rPr>
        <w:t xml:space="preserve">Can I use an external antenna or my own router?</w:t>
      </w:r>
    </w:p>
    <w:p>
      <w:pPr>
        <w:pStyle w:val="ListParagraph"/>
        <w:numPr>
          <w:ilvl w:val="0"/>
          <w:numId w:val="2"/>
        </w:numPr>
        <w:spacing w:after="50"/>
      </w:pPr>
      <w:r>
        <w:rPr>
          <w:rFonts w:ascii="Calibri" w:cs="Calibri" w:eastAsia="Calibri" w:hAnsi="Calibri"/>
          <w:color w:val="1F2A24"/>
          <w:sz w:val="20"/>
          <w:szCs w:val="20"/>
        </w:rPr>
        <w:t xml:space="preserve">Is landlord or building permission needed, and how long will installation take?</w:t>
      </w:r>
    </w:p>
    <w:p>
      <w:pPr>
        <w:pStyle w:val="ListParagraph"/>
        <w:numPr>
          <w:ilvl w:val="0"/>
          <w:numId w:val="2"/>
        </w:numPr>
        <w:spacing w:after="50"/>
      </w:pPr>
      <w:r>
        <w:rPr>
          <w:rFonts w:ascii="Calibri" w:cs="Calibri" w:eastAsia="Calibri" w:hAnsi="Calibri"/>
          <w:color w:val="1F2A24"/>
          <w:sz w:val="20"/>
          <w:szCs w:val="20"/>
        </w:rPr>
        <w:t>What is the service-restoration commitment if the connection fails?</w:t>
      </w:r>
    </w:p>
    <w:p>
      <w:pPr>
        <w:pStyle w:val="Heading2"/>
        <w:spacing w:after="100" w:before="240"/>
      </w:pPr>
      <w:r>
        <w:rPr>
          <w:rFonts w:ascii="Georgia" w:cs="Georgia" w:eastAsia="Georgia" w:hAnsi="Georgia"/>
          <w:b/>
          <w:bCs/>
          <w:color w:val="0B4A32"/>
          <w:sz w:val="24"/>
          <w:szCs w:val="24"/>
        </w:rPr>
        <w:t xml:space="preserve">Short glossary</w:t>
      </w:r>
    </w:p>
    <w:p>
      <w:pPr>
        <w:pStyle w:val="ListParagraph"/>
        <w:numPr>
          <w:ilvl w:val="0"/>
          <w:numId w:val="3"/>
        </w:numPr>
        <w:spacing w:after="50"/>
      </w:pPr>
      <w:r>
        <w:rPr>
          <w:rFonts w:ascii="Calibri" w:cs="Calibri" w:eastAsia="Calibri" w:hAnsi="Calibri"/>
          <w:b/>
          <w:bCs/>
          <w:color w:val="1F2A24"/>
          <w:sz w:val="20"/>
          <w:szCs w:val="20"/>
        </w:rPr>
        <w:t xml:space="preserve">FTTP: </w:t>
      </w:r>
      <w:r>
        <w:rPr>
          <w:rFonts w:ascii="Calibri" w:cs="Calibri" w:eastAsia="Calibri" w:hAnsi="Calibri"/>
          <w:color w:val="1F2A24"/>
          <w:sz w:val="20"/>
          <w:szCs w:val="20"/>
        </w:rPr>
        <w:t xml:space="preserve">fibre to the premises. Fibre-optic cable reaches your home or building.</w:t>
      </w:r>
    </w:p>
    <w:p>
      <w:pPr>
        <w:pStyle w:val="ListParagraph"/>
        <w:numPr>
          <w:ilvl w:val="0"/>
          <w:numId w:val="3"/>
        </w:numPr>
        <w:spacing w:after="50"/>
      </w:pPr>
      <w:r>
        <w:rPr>
          <w:rFonts w:ascii="Calibri" w:cs="Calibri" w:eastAsia="Calibri" w:hAnsi="Calibri"/>
          <w:b/>
          <w:bCs/>
          <w:i w:val="0"/>
          <w:color w:val="1F2A24"/>
          <w:sz w:val="20"/>
          <w:szCs w:val="20"/>
        </w:rPr>
        <w:t xml:space="preserve">Fixed wireless access (FWA): </w:t>
      </w:r>
      <w:r>
        <w:rPr>
          <w:rFonts w:ascii="Calibri" w:cs="Calibri" w:eastAsia="Calibri" w:hAnsi="Calibri"/>
          <w:color w:val="1F2A24"/>
          <w:sz w:val="20"/>
          <w:szCs w:val="20"/>
        </w:rPr>
      </w:r>
      <w:r>
        <w:rPr>
          <w:b w:val="0"/>
          <w:i w:val="0"/>
        </w:rPr>
        <w:t>home internet delivered over a terrestrial cellular radio link to fixed equipment at the premises, such as an indoor or outdoor gateway.</w:t>
      </w:r>
    </w:p>
    <w:p>
      <w:pPr>
        <w:pStyle w:val="ListParagraph"/>
        <w:numPr>
          <w:ilvl w:val="0"/>
          <w:numId w:val="3"/>
        </w:numPr>
        <w:spacing w:after="50"/>
      </w:pPr>
      <w:r>
        <w:rPr>
          <w:rFonts w:ascii="Calibri" w:cs="Calibri" w:eastAsia="Calibri" w:hAnsi="Calibri"/>
          <w:b/>
          <w:bCs/>
          <w:i w:val="0"/>
          <w:color w:val="1F2A24"/>
          <w:sz w:val="20"/>
          <w:szCs w:val="20"/>
        </w:rPr>
        <w:t xml:space="preserve">Standalone / non-standalone 5G: </w:t>
      </w:r>
      <w:r>
        <w:rPr>
          <w:rFonts w:ascii="Calibri" w:cs="Calibri" w:eastAsia="Calibri" w:hAnsi="Calibri"/>
          <w:color w:val="1F2A24"/>
          <w:sz w:val="20"/>
          <w:szCs w:val="20"/>
        </w:rPr>
      </w:r>
      <w:r>
        <w:rPr>
          <w:b w:val="0"/>
          <w:i w:val="0"/>
        </w:rPr>
        <w:t>two 5G deployment approaches. Non-standalone 5G uses parts of the 4G network architecture, while standalone 5G uses a 5G core. The difference can affect available features and performance.</w:t>
      </w:r>
    </w:p>
    <w:p>
      <w:pPr>
        <w:pStyle w:val="ListParagraph"/>
        <w:numPr>
          <w:ilvl w:val="0"/>
          <w:numId w:val="3"/>
        </w:numPr>
        <w:spacing w:after="50"/>
      </w:pPr>
      <w:r>
        <w:rPr>
          <w:rFonts w:ascii="Calibri" w:cs="Calibri" w:eastAsia="Calibri" w:hAnsi="Calibri"/>
          <w:b/>
          <w:bCs/>
          <w:color w:val="1F2A24"/>
          <w:sz w:val="20"/>
          <w:szCs w:val="20"/>
        </w:rPr>
        <w:t xml:space="preserve">PON (GPON, XGS-PON): </w:t>
      </w:r>
      <w:r>
        <w:rPr>
          <w:rFonts w:ascii="Calibri" w:cs="Calibri" w:eastAsia="Calibri" w:hAnsi="Calibri"/>
          <w:color w:val="1F2A24"/>
          <w:sz w:val="20"/>
          <w:szCs w:val="20"/>
        </w:rPr>
        <w:t xml:space="preserve">passive optical network technologies used on many fibre networks.</w:t>
      </w:r>
    </w:p>
    <w:p>
      <w:pPr>
        <w:pStyle w:val="ListParagraph"/>
        <w:numPr>
          <w:ilvl w:val="0"/>
          <w:numId w:val="3"/>
        </w:numPr>
        <w:spacing w:after="50"/>
      </w:pPr>
      <w:r>
        <w:rPr>
          <w:rFonts w:ascii="Calibri" w:cs="Calibri" w:eastAsia="Calibri" w:hAnsi="Calibri"/>
          <w:b/>
          <w:bCs/>
          <w:color w:val="1F2A24"/>
          <w:sz w:val="20"/>
          <w:szCs w:val="20"/>
        </w:rPr>
        <w:t xml:space="preserve">ONT: </w:t>
      </w:r>
      <w:r>
        <w:rPr>
          <w:rFonts w:ascii="Calibri" w:cs="Calibri" w:eastAsia="Calibri" w:hAnsi="Calibri"/>
          <w:color w:val="1F2A24"/>
          <w:sz w:val="20"/>
          <w:szCs w:val="20"/>
        </w:rPr>
        <w:t xml:space="preserve">optical network terminal. The box in your home where fibre ends.</w:t>
      </w:r>
    </w:p>
    <w:p>
      <w:pPr>
        <w:pStyle w:val="ListParagraph"/>
        <w:numPr>
          <w:ilvl w:val="0"/>
          <w:numId w:val="3"/>
        </w:numPr>
        <w:spacing w:after="50"/>
      </w:pPr>
      <w:r>
        <w:rPr>
          <w:rFonts w:ascii="Calibri" w:cs="Calibri" w:eastAsia="Calibri" w:hAnsi="Calibri"/>
          <w:b/>
          <w:bCs/>
          <w:color w:val="1F2A24"/>
          <w:sz w:val="20"/>
          <w:szCs w:val="20"/>
        </w:rPr>
        <w:t xml:space="preserve">Symmetrical: </w:t>
      </w:r>
      <w:r>
        <w:rPr>
          <w:rFonts w:ascii="Calibri" w:cs="Calibri" w:eastAsia="Calibri" w:hAnsi="Calibri"/>
          <w:color w:val="1F2A24"/>
          <w:sz w:val="20"/>
          <w:szCs w:val="20"/>
        </w:rPr>
        <w:t xml:space="preserve">upload speed matches download speed.</w:t>
      </w:r>
    </w:p>
    <w:p>
      <w:pPr>
        <w:pStyle w:val="ListParagraph"/>
        <w:numPr>
          <w:ilvl w:val="0"/>
          <w:numId w:val="3"/>
        </w:numPr>
        <w:spacing w:after="50"/>
      </w:pPr>
      <w:r>
        <w:rPr>
          <w:rFonts w:ascii="Calibri" w:cs="Calibri" w:eastAsia="Calibri" w:hAnsi="Calibri"/>
          <w:b/>
          <w:bCs/>
          <w:color w:val="1F2A24"/>
          <w:sz w:val="20"/>
          <w:szCs w:val="20"/>
        </w:rPr>
        <w:t xml:space="preserve">Latency / jitter: </w:t>
      </w:r>
      <w:r>
        <w:rPr>
          <w:rFonts w:ascii="Calibri" w:cs="Calibri" w:eastAsia="Calibri" w:hAnsi="Calibri"/>
          <w:color w:val="1F2A24"/>
          <w:sz w:val="20"/>
          <w:szCs w:val="20"/>
        </w:rPr>
        <w:t xml:space="preserve">delay in the connection, and how much that delay varies.</w:t>
      </w:r>
    </w:p>
    <w:p>
      <w:pPr>
        <w:pBdr>
          <w:top w:val="single" w:color="B8860B" w:sz="6" w:space="6"/>
        </w:pBdr>
        <w:spacing w:before="200"/>
      </w:pPr>
      <w:r>
        <w:rPr>
          <w:rFonts w:ascii="Calibri" w:cs="Calibri" w:eastAsia="Calibri" w:hAnsi="Calibri"/>
          <w:i/>
          <w:iCs/>
          <w:color w:val="5B6660"/>
          <w:sz w:val="18"/>
          <w:szCs w:val="18"/>
        </w:rPr>
        <w:t xml:space="preserve">This document is general information, not a lab test or a provider recommendation. Verify speeds, prices, terms and availability with the provider for your address.</w:t>
      </w:r>
    </w:p>
    <w:sectPr>
      <w:headerReference w:type="default" r:id="rId7"/>
      <w:footerReference w:type="default" r:id="rId8"/>
      <w:pgSz w:w="15840" w:h="12240" w:orient="landscape"/>
      <w:pgMar w:top="10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400"/>
      </w:tabs>
    </w:pPr>
    <w:r>
      <w:rPr>
        <w:rFonts w:ascii="Calibri" w:cs="Calibri" w:eastAsia="Calibri" w:hAnsi="Calibri"/>
        <w:color w:val="5B6660"/>
        <w:sz w:val="16"/>
        <w:szCs w:val="16"/>
      </w:rPr>
      <w:t xml:space="preserve">ONOCRA · Independent, evidence-first technology guidance for households</w:t>
    </w:r>
    <w:r>
      <w:rPr>
        <w:rFonts w:ascii="Calibri" w:cs="Calibri" w:eastAsia="Calibri" w:hAnsi="Calibri"/>
        <w:color w:val="5B6660"/>
        <w:sz w:val="16"/>
        <w:szCs w:val="16"/>
      </w:rPr>
      <w:t xml:space="preserve">	Page </w:t>
    </w:r>
    <w:r>
      <w:rPr>
        <w:rFonts w:ascii="Calibri" w:cs="Calibri" w:eastAsia="Calibri" w:hAnsi="Calibri"/>
        <w:color w:val="5B66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8" w:space="4"/>
      </w:pBdr>
      <w:tabs>
        <w:tab w:val="right" w:pos="14400"/>
      </w:tabs>
    </w:pPr>
    <w:r>
      <w:drawing>
        <wp:inline distT="0" distB="0" distL="0" distR="0">
          <wp:extent cx="323850" cy="314325"/>
          <wp:effectExtent t="0" r="0" b="0" l="0"/>
          <wp:docPr id="1" name="logo" descr="ONOCRA logo" title="ONO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314325"/>
                  </a:xfrm>
                  <a:prstGeom prst="rect">
                    <a:avLst/>
                  </a:prstGeom>
                </pic:spPr>
              </pic:pic>
            </a:graphicData>
          </a:graphic>
        </wp:inline>
      </w:drawing>
    </w:r>
    <w:r>
      <w:rPr>
        <w:rFonts w:ascii="Georgia" w:cs="Georgia" w:eastAsia="Georgia" w:hAnsi="Georgia"/>
        <w:b/>
        <w:bCs/>
        <w:color w:val="0B4A32"/>
        <w:sz w:val="24"/>
        <w:szCs w:val="24"/>
      </w:rPr>
      <w:t xml:space="preserve">  ONOCRA</w:t>
    </w:r>
    <w:r>
      <w:rPr>
        <w:rFonts w:ascii="Calibri" w:cs="Calibri" w:eastAsia="Calibri" w:hAnsi="Calibri"/>
        <w:color w:val="5B6660"/>
        <w:sz w:val="18"/>
        <w:szCs w:val="18"/>
      </w:rPr>
      <w:tab/>
      <w:t>Home Internet &amp; Wi-Fi · Broadband comparison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eorgia" w:cs="Georgia" w:eastAsia="Georgia" w:hAnsi="Georgia"/>
      <w:b/>
      <w:bCs/>
      <w:color w:val="0B4A32"/>
      <w:sz w:val="30"/>
      <w:szCs w:val="30"/>
    </w:rPr>
  </w:style>
  <w:style w:type="paragraph" w:styleId="Heading2">
    <w:name w:val="Heading 2"/>
    <w:basedOn w:val="Normal"/>
    <w:next w:val="Normal"/>
    <w:qFormat/>
    <w:pPr>
      <w:outlineLvl w:val="1"/>
    </w:pPr>
    <w:rPr>
      <w:rFonts w:ascii="Georgia" w:cs="Georgia" w:eastAsia="Georgia" w:hAnsi="Georgia"/>
      <w:b/>
      <w:bCs/>
      <w:color w:val="0B4A32"/>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be15637335247804c27bdd64134cf0620f0f74b.png"/><Relationship Id="rId10"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7be15637335247804c27bdd64134cf0620f0f74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2026-10-19T16:17:33.658Z</dcterms:created>
  <dcterms:modified xsi:type="dcterms:W3CDTF">2026-10-19T16:17:33.659Z</dcterms:modified>
  <dc:title>ONOCRA Guide — Full Fibre (FTTP) vs. 4G / 5G Fixed Wireless Access (FWA)</dc:title>
  <dc:subject>Home Internet &amp; Wi-Fi · Broadband comparison</dc:subject>
  <cp:keywords>ONOCRA, FTTP, fibre, fixed wireless access, FWA, 4G, 5G, broadband comparison</cp:keywords>
</cp:coreProperties>
</file>

<file path=docProps/custom.xml><?xml version="1.0" encoding="utf-8"?>
<Properties xmlns="http://schemas.openxmlformats.org/officeDocument/2006/custom-properties" xmlns:vt="http://schemas.openxmlformats.org/officeDocument/2006/docPropsVTypes"/>
</file>