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drawing>
          <wp:inline distT="0" distB="0" distL="0" distR="0">
            <wp:extent cx="800100" cy="781050"/>
            <wp:effectExtent t="0" r="0" b="0" l="0"/>
            <wp:docPr id="1" name="logo2" descr="ONOCRA signature logo" title="ONOC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781050"/>
                    </a:xfrm>
                    <a:prstGeom prst="rect">
                      <a:avLst/>
                    </a:prstGeom>
                  </pic:spPr>
                </pic:pic>
              </a:graphicData>
            </a:graphic>
          </wp:inline>
        </w:drawing>
      </w:r>
    </w:p>
    <w:p>
      <w:pPr>
        <w:spacing w:after="40"/>
      </w:pPr>
      <w:r>
        <w:rPr>
          <w:rFonts w:ascii="Georgia" w:cs="Georgia" w:eastAsia="Georgia" w:hAnsi="Georgia"/>
          <w:b/>
          <w:bCs/>
          <w:color w:val="0B4A32"/>
          <w:sz w:val="44"/>
          <w:szCs w:val="44"/>
        </w:rPr>
        <w:t>Full Fibre (FTTP) vs. Cable Broadband / Coax (HFC)</w:t>
      </w:r>
    </w:p>
    <w:p>
      <w:pPr>
        <w:pBdr>
          <w:bottom w:val="single" w:color="F26B0F" w:sz="12" w:space="6"/>
        </w:pBdr>
        <w:spacing w:after="160"/>
      </w:pPr>
      <w:r>
        <w:rPr>
          <w:rFonts w:ascii="Calibri" w:cs="Calibri" w:eastAsia="Calibri" w:hAnsi="Calibri"/>
          <w:color w:val="5B6660"/>
          <w:sz w:val="24"/>
          <w:szCs w:val="24"/>
        </w:rPr>
        <w:t xml:space="preserve">An ONOCRA comparison framework for household broadband choices</w:t>
      </w:r>
    </w:p>
    <w:p>
      <w:pPr>
        <w:spacing w:after="60"/>
      </w:pPr>
      <w:r>
        <w:rPr>
          <w:rFonts w:ascii="Calibri" w:cs="Calibri" w:eastAsia="Calibri" w:hAnsi="Calibri"/>
          <w:color w:val="1F2A24"/>
          <w:sz w:val="20"/>
          <w:szCs w:val="20"/>
        </w:rPr>
        <w:t>This guide compares two widely used wired home internet access types: full fibre to the premises (FTTP) and cable broadband delivered over coaxial cable, usually as hybrid fibre-coax (HFC). It helps you decide which questions matter before you choose a provider or plan.</w:t>
      </w:r>
    </w:p>
    <w:p>
      <w:pPr>
        <w:spacing w:after="60"/>
      </w:pPr>
      <w:r>
        <w:rPr>
          <w:rFonts w:ascii="Calibri" w:cs="Calibri" w:eastAsia="Calibri" w:hAnsi="Calibri"/>
          <w:b/>
          <w:bCs/>
          <w:color w:val="0B4A32"/>
          <w:sz w:val="20"/>
          <w:szCs w:val="20"/>
        </w:rPr>
        <w:t xml:space="preserve">How to read it. </w:t>
      </w:r>
      <w:r>
        <w:rPr>
          <w:rFonts w:ascii="Calibri" w:cs="Calibri" w:eastAsia="Calibri" w:hAnsi="Calibri"/>
          <w:color w:val="1F2A24"/>
          <w:sz w:val="20"/>
          <w:szCs w:val="20"/>
        </w:rPr>
        <w:t xml:space="preserve">Neither technology is “better” in every case. Each row explains what the technology can offer, where limits may apply, and what you should check for your own address and plan. We do not publish invented prices or scores. Speeds, prices and availability differ by provider, region and plan.</w:t>
      </w:r>
    </w:p>
    <w:p>
      <w:pPr>
        <w:pStyle w:val="Heading2"/>
        <w:spacing w:after="100" w:before="240"/>
      </w:pPr>
      <w:r>
        <w:rPr>
          <w:rFonts w:ascii="Georgia" w:cs="Georgia" w:eastAsia="Georgia" w:hAnsi="Georgia"/>
          <w:b/>
          <w:bCs/>
          <w:color w:val="0B4A32"/>
          <w:sz w:val="24"/>
          <w:szCs w:val="24"/>
        </w:rPr>
        <w:t xml:space="preserve">Evidence key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400"/>
        <w:gridCol w:w="11000"/>
      </w:tblGrid>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Provider claim</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What the provider or manufacturer says. Useful, but verify it.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Independent testing</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Measurements by third parties. Check the date, location and method.</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Editorial interpretation</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ONOCRA’s reading of the evidence. Marked as such, never presented as a measurement.</w:t>
            </w:r>
          </w:p>
        </w:tc>
      </w:tr>
      <w:tr>
        <w:tc>
          <w:tcPr>
            <w:tcW w:type="dxa" w:w="34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Unverified</w:t>
            </w:r>
          </w:p>
        </w:tc>
        <w:tc>
          <w:tcPr>
            <w:tcW w:type="dxa" w:w="110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No reliable evidence found yet. We say so rather than guess.</w:t>
            </w:r>
          </w:p>
        </w:tc>
      </w:tr>
    </w:tbl>
    <w:p>
      <w:pPr>
        <w:pageBreakBefore/>
      </w:pPr>
    </w:p>
    <w:p>
      <w:pPr>
        <w:pStyle w:val="Heading1"/>
        <w:spacing w:after="100" w:before="240"/>
      </w:pPr>
      <w:r>
        <w:rPr>
          <w:rFonts w:ascii="Georgia" w:cs="Georgia" w:eastAsia="Georgia" w:hAnsi="Georgia"/>
          <w:b/>
          <w:bCs/>
          <w:color w:val="0B4A32"/>
          <w:sz w:val="30"/>
          <w:szCs w:val="30"/>
        </w:rPr>
        <w:t xml:space="preserve">Full comparison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4100"/>
        <w:gridCol w:w="4100"/>
      </w:tblGrid>
      <w:tr>
        <w:trPr>
          <w:tblHeader/>
        </w:trPr>
        <w:tc>
          <w:tcPr>
            <w:tcW w:type="dxa" w:w="2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1"/>
                <w:szCs w:val="21"/>
              </w:rPr>
              <w:t xml:space="preserve">Factor</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1"/>
                <w:szCs w:val="21"/>
              </w:rPr>
              <w:t xml:space="preserve">Full fibre / FTTP</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1"/>
                <w:szCs w:val="21"/>
              </w:rPr>
              <w:t>Cable broadband / coax (HFC)</w:t>
            </w:r>
          </w:p>
        </w:tc>
        <w:tc>
          <w:tcPr>
            <w:tcW w:type="dxa" w:w="41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1"/>
                <w:szCs w:val="21"/>
              </w:rPr>
              <w:t xml:space="preserve">What to verify</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after="0"/>
            </w:pPr>
            <w:r>
              <w:rPr>
                <w:rFonts w:ascii="Calibri" w:cs="Calibri" w:eastAsia="Calibri" w:hAnsi="Calibri"/>
                <w:b/>
                <w:bCs/>
                <w:color w:val="0B4A32"/>
                <w:sz w:val="22"/>
                <w:szCs w:val="22"/>
              </w:rPr>
              <w:t xml:space="preserve">1 · Technology &amp; network design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How it works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Light signals travel over fibre-optic cable all the way to the premises.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Cable broadband typically uses hybrid fibre-coax (HFC): fibre runs deep into the network, then coaxial cable serves the final access segment to the premises.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Ask whether fibre reaches the premises or whether coax is used on the final access segment.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Network generation / standard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FTTP is an access method, not a speed tier. The equipment generation (for example GPON, XGS-PON or other PON variants) and the plan you buy determine what you get.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DOCSIS is the cable broadband standard family. Versions such as 3.0, 3.1 and 4.0, plus the provider’s upstream design and spectrum allocation, shape capability.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Ask which DOCSIS generation and network configuration serve your address, and what upgrades the provider has announced.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Shared vs. dedicated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Many consumer FTTP services use passive optical network (PON) designs that share upstream optical capacity among a group of premises. Other fibre architectures differ.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Capacity is shared across the local cable segment or node. Busy periods can reduce the capacity available to each household.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Look for provider disclosures or independent measurements for your area at evening peak.</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Signal medium &amp; interference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The optical access line is immune to electromagnetic interference. Service can still be affected by power loss, physical damage, equipment faults or upstream network issues.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Coaxial signals can be affected by poor connectors, damaged cable or in-home splitters.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Ask who maintains the in-home wiring and what fault-checking or technician support is included.</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after="0"/>
            </w:pPr>
            <w:r>
              <w:rPr>
                <w:rFonts w:ascii="Calibri" w:cs="Calibri" w:eastAsia="Calibri" w:hAnsi="Calibri"/>
                <w:b/>
                <w:bCs/>
                <w:color w:val="0B4A32"/>
                <w:sz w:val="22"/>
                <w:szCs w:val="22"/>
              </w:rPr>
              <w:t xml:space="preserve">2 · Speed &amp; performance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Download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Can support very high download tiers, depending on equipment and plan.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Often offers high download tiers using existing infrastructure.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Check the advertised, typical and minimum speeds on the plan’s own information sheet.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Upload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Can support strong upload capacity, and on some services upload matches download (symmetrical) when properly provisioned.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Upload is often lower than download on many current HFC services. Newer DOCSIS and network upgrades can improve upstream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Look for the stated upload figure. Do not assume it from the download figure.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Symmetry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Symmetrical plans are available on many fibre networks, but not all.</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Many cable services remain asymmetrical. Newer DOCSIS and HFC upgrades can provide much higher upstream capacity and, in some deployments, more balanced tiers.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whether the plan is symmetrical, and whether that is guaranteed or “up to”.</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Latency &amp; jitter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Generally low and steady in typical conditions. Results depend on routing and provider.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Can be low, but may vary more when the shared segment is busy.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Compare independent test results from several time periods, not one speed test.</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Peak-time consistency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Usually steady when the network is well provisioned.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Peak-time experience depends on node load, network design and service tier.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whether the provider discloses typical evening-hour speeds.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Reliability &amp; outages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Reliability depends on the provider network, the fibre access line, the ONT/router and local power. The ONT and router need power.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Reliability depends on coax condition, active network equipment, local node load and in-home wiring. The cable modem or gateway needs power.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about outage history, repair targets and what happens during a power cut.</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after="0"/>
            </w:pPr>
            <w:r>
              <w:rPr>
                <w:rFonts w:ascii="Calibri" w:cs="Calibri" w:eastAsia="Calibri" w:hAnsi="Calibri"/>
                <w:b/>
                <w:bCs/>
                <w:color w:val="0B4A32"/>
                <w:sz w:val="22"/>
                <w:szCs w:val="22"/>
              </w:rPr>
              <w:t xml:space="preserve">3 · Everyday household use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Video calls &amp; remote 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Strong upload and stable connection help calls, screen sharing and large file uploads.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Usually fine for calls. Heavy simultaneous uploads depend on upstream capacity.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Match the plan’s upload figure to how many people work or study from home.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Cloud backup &amp; photo uploads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Higher upload shortens large backups.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Upload limits can make large first backups slow.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Estimate your largest regular upload and test it against the plan’s upload figure.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4K streaming &amp; downloads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Well suited, depending on plan and Wi-Fi quality.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Well suited for downstream-heavy use if the plan is adequate.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Plan for the number of simultaneous streams, not only one.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Online gaming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Low and steady latency is helpful. Wi-Fi often matters more than the line.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Can be fine for most households. Peak-time variation may matter to competitive players.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Test latency during your usual gaming hours; wire the console or PC if you can.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Many devices / smart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Handles many connected devices well when the router and Wi-Fi are good.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Also workable. Router quality and plan tier matter.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Count devices and check the included router’s capabilities.</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after="0"/>
            </w:pPr>
            <w:r>
              <w:rPr>
                <w:rFonts w:ascii="Calibri" w:cs="Calibri" w:eastAsia="Calibri" w:hAnsi="Calibri"/>
                <w:b/>
                <w:bCs/>
                <w:color w:val="0B4A32"/>
                <w:sz w:val="22"/>
                <w:szCs w:val="22"/>
              </w:rPr>
              <w:t xml:space="preserve">4 · Availability &amp; installation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Availability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Depends on whether the provider has built a fibre connection to your street or building.</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Available where HFC or cable networks have been built. The footprint varies widely by country, city and neighbourhood.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Check availability for your exact address, not just your postcode or ZIP code.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New installation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New installation may need permission, access or building work.</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Where usable cable is already present, installation can be simpler. New drops, drilling or outside work may still be needed.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whether an engineer visit, drilling or outside work is needed.</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Renters &amp; multi-dwelling buildings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Landlord, building owner or association permission may be needed.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May already be wired. Permission still may be needed for changes.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your landlord or building manager before you order.</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Equipment in your home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Fibre terminal (ONT) plus a router. Some providers combine them.</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Cable modem or gateway, plus Wi-Fi router if separate.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whether you can use your own router, and who owns each device.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Time to get connected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Can take longer where building work is needed.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Often quicker where the line is already present.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Request an installation date in writing.</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after="0"/>
            </w:pPr>
            <w:r>
              <w:rPr>
                <w:rFonts w:ascii="Calibri" w:cs="Calibri" w:eastAsia="Calibri" w:hAnsi="Calibri"/>
                <w:b/>
                <w:bCs/>
                <w:color w:val="0B4A32"/>
                <w:sz w:val="22"/>
                <w:szCs w:val="22"/>
              </w:rPr>
              <w:t xml:space="preserve">5 · Cost, contract &amp; consumer protection</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Pricing structure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Plans vary by provider and region. Compare the regular price, introductory offers and any scheduled price changes.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Plans vary by provider and region. Compare the regular price, introductory offers and any scheduled price changes.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Record the monthly price now, after the offer ends, and any yearly price rises.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Installation &amp; equipment fees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May include installation or activation costs.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May include equipment rental or self-install kit costs.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Add up setup fees, equipment rental and return costs.</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Contract length &amp; exit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Contract lengths vary. Check early termination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Contract lengths vary. Check early termination terms.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Read the minimum term and the cancellation steps before you agree.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Data limits &amp; fair-use rules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Plans may be unlimited or may include data or fair-use rules, depending on provider and region.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Plans may be unlimited or may include data allowances, throttling or fair-use rules, depending on provider and region.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whether there is any cap, throttling or extra charge.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Consumer information</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Local rules may require providers to disclose prices, speeds, contract terms and data policies. Formats vary by country.</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The same local disclosure rules apply to cable plans.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Keep the plan label, contract summary or equivalent disclosure. Rules vary by country.</w:t>
            </w:r>
          </w:p>
        </w:tc>
      </w:tr>
      <w:tr>
        <w:trPr>
          <w:cantSplit/>
        </w:trPr>
        <w:tc>
          <w:tcPr>
            <w:tcW w:type="dxa" w:w="14400"/>
            <w:gridSpan w:val="4"/>
            <w:tcBorders>
              <w:top w:val="single" w:color="C9D3CC" w:sz="4"/>
              <w:left w:val="single" w:color="C9D3CC" w:sz="4"/>
              <w:bottom w:val="single" w:color="C9D3CC" w:sz="4"/>
              <w:right w:val="single" w:color="C9D3CC" w:sz="4"/>
            </w:tcBorders>
            <w:shd w:fill="DCE8DF" w:color="auto" w:val="clear"/>
            <w:tcMar>
              <w:top w:type="dxa" w:w="80"/>
              <w:left w:type="dxa" w:w="120"/>
              <w:bottom w:type="dxa" w:w="80"/>
              <w:right w:type="dxa" w:w="120"/>
            </w:tcMar>
            <w:vAlign w:val="top"/>
          </w:tcPr>
          <w:p>
            <w:pPr>
              <w:spacing w:after="0"/>
            </w:pPr>
            <w:r>
              <w:rPr>
                <w:rFonts w:ascii="Calibri" w:cs="Calibri" w:eastAsia="Calibri" w:hAnsi="Calibri"/>
                <w:b/>
                <w:bCs/>
                <w:color w:val="0B4A32"/>
                <w:sz w:val="22"/>
                <w:szCs w:val="22"/>
              </w:rPr>
              <w:t xml:space="preserve">6 · Longevity &amp; value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Upgrade path</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Installed fibre can often remain while network and premises equipment is upgraded.</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DOCSIS upgrades may require newer modems, node or amplifier changes, spectrum reallocation or deeper fibre.</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Ask what upgrades the provider has publicly committed to for your area.</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Future-proofing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FTTP offers substantial long-term capacity headroom; network design, service tier and equipment still matter.</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HFC can remain competitive through DOCSIS and network upgrades; the coax segment still shapes the upgrade path.</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Treat this as editorial interpretation, not a guarantee.</w:t>
            </w:r>
          </w:p>
        </w:tc>
      </w:tr>
      <w:tr>
        <w:trPr>
          <w:cantSplit/>
        </w:trPr>
        <w:tc>
          <w:tcPr>
            <w:tcW w:type="dxa" w:w="2100"/>
            <w:tcBorders>
              <w:top w:val="single" w:color="C9D3CC" w:sz="4"/>
              <w:left w:val="single" w:color="C9D3CC" w:sz="4"/>
              <w:bottom w:val="single" w:color="C9D3CC" w:sz="4"/>
              <w:right w:val="single" w:color="C9D3CC" w:sz="4"/>
            </w:tcBorders>
            <w:shd w:fill="F6F3E9" w:color="auto" w:val="clear"/>
            <w:tcMar>
              <w:top w:type="dxa" w:w="80"/>
              <w:left w:type="dxa" w:w="120"/>
              <w:bottom w:type="dxa" w:w="80"/>
              <w:right w:type="dxa" w:w="120"/>
            </w:tcMar>
            <w:vAlign w:val="top"/>
          </w:tcPr>
          <w:p>
            <w:pPr>
              <w:spacing w:after="0"/>
            </w:pPr>
            <w:r>
              <w:rPr>
                <w:rFonts w:ascii="Calibri" w:cs="Calibri" w:eastAsia="Calibri" w:hAnsi="Calibri"/>
                <w:b/>
                <w:bCs/>
                <w:color w:val="0B4A32"/>
                <w:sz w:val="20"/>
                <w:szCs w:val="20"/>
              </w:rPr>
              <w:t xml:space="preserve">Energy &amp; environment (editorial view)</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Energy use depends on network design. Some fibre architectures require fewer powered field electronics.</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Energy use depends on HFC design, powered network equipment and the extent of fibre deployment.</w:t>
            </w:r>
          </w:p>
        </w:tc>
        <w:tc>
          <w:tcPr>
            <w:tcW w:type="dxa" w:w="41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 xml:space="preserve">Look for the provider’s published sustainability information.</w:t>
            </w:r>
          </w:p>
        </w:tc>
      </w:tr>
    </w:tbl>
    <w:p>
      <w:pPr>
        <w:pStyle w:val="Heading1"/>
        <w:spacing w:after="100" w:before="240"/>
      </w:pPr>
      <w:r>
        <w:rPr>
          <w:rFonts w:ascii="Georgia" w:cs="Georgia" w:eastAsia="Georgia" w:hAnsi="Georgia"/>
          <w:b/>
          <w:bCs/>
          <w:color w:val="0B4A32"/>
          <w:sz w:val="30"/>
          <w:szCs w:val="30"/>
        </w:rPr>
        <w:t xml:space="preserve">Quick fit guide (editorial interpretation)</w:t>
      </w:r>
    </w:p>
    <w:p>
      <w:pPr>
        <w:spacing w:after="60"/>
      </w:pPr>
      <w:r>
        <w:rPr>
          <w:rFonts w:ascii="Calibri" w:cs="Calibri" w:eastAsia="Calibri" w:hAnsi="Calibri"/>
          <w:color w:val="1F2A24"/>
          <w:sz w:val="20"/>
          <w:szCs w:val="20"/>
        </w:rPr>
        <w:t xml:space="preserve">These are general tendencies, not guarantees. Your address, provider and plan decide the real result.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7200"/>
        <w:gridCol w:w="7200"/>
      </w:tblGrid>
      <w:tr>
        <w:trPr>
          <w:tblHeader/>
        </w:trPr>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 xml:space="preserve">Full fibre / FTTP tends to suit households that…</w:t>
            </w:r>
          </w:p>
        </w:tc>
        <w:tc>
          <w:tcPr>
            <w:tcW w:type="dxa" w:w="7200"/>
            <w:tcBorders>
              <w:top w:val="single" w:color="C9D3CC" w:sz="4"/>
              <w:left w:val="single" w:color="C9D3CC" w:sz="4"/>
              <w:bottom w:val="single" w:color="C9D3CC" w:sz="4"/>
              <w:right w:val="single" w:color="C9D3CC" w:sz="4"/>
            </w:tcBorders>
            <w:shd w:fill="0B4A32" w:color="auto" w:val="clear"/>
            <w:tcMar>
              <w:top w:type="dxa" w:w="80"/>
              <w:left w:type="dxa" w:w="120"/>
              <w:bottom w:type="dxa" w:w="80"/>
              <w:right w:type="dxa" w:w="120"/>
            </w:tcMar>
            <w:vAlign w:val="top"/>
          </w:tcPr>
          <w:p>
            <w:pPr>
              <w:spacing w:after="0"/>
            </w:pPr>
            <w:r>
              <w:rPr>
                <w:rFonts w:ascii="Calibri" w:cs="Calibri" w:eastAsia="Calibri" w:hAnsi="Calibri"/>
                <w:b/>
                <w:bCs/>
                <w:color w:val="FFFFFF"/>
                <w:sz w:val="20"/>
                <w:szCs w:val="20"/>
              </w:rPr>
              <w:t>Cable broadband / coax (HFC) tends to suit households that…</w:t>
            </w:r>
          </w:p>
        </w:tc>
      </w:tr>
      <w:tr>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Need strong uploads, symmetrical options or steady low latency.</w:t>
            </w:r>
          </w:p>
          <w:p>
            <w:pPr>
              <w:spacing w:after="40"/>
            </w:pPr>
            <w:r>
              <w:rPr>
                <w:rFonts w:ascii="Calibri" w:cs="Calibri" w:eastAsia="Calibri" w:hAnsi="Calibri"/>
                <w:color w:val="1F2A24"/>
                <w:sz w:val="20"/>
                <w:szCs w:val="20"/>
              </w:rPr>
              <w:t>Have several people working, studying, calling or streaming at once.</w:t>
            </w:r>
          </w:p>
          <w:p>
            <w:pPr>
              <w:spacing w:after="40"/>
            </w:pPr>
            <w:r>
              <w:rPr>
                <w:rFonts w:ascii="Calibri" w:cs="Calibri" w:eastAsia="Calibri" w:hAnsi="Calibri"/>
                <w:color w:val="1F2A24"/>
                <w:sz w:val="20"/>
                <w:szCs w:val="20"/>
              </w:rPr>
              <w:t>Want a long upgrade path and can accommodate installation work.</w:t>
            </w:r>
          </w:p>
          <w:p>
            <w:pPr>
              <w:spacing w:after="40"/>
            </w:pPr>
            <w:r>
              <w:rPr>
                <w:rFonts w:ascii="Calibri" w:cs="Calibri" w:eastAsia="Calibri" w:hAnsi="Calibri"/>
                <w:color w:val="1F2A24"/>
                <w:sz w:val="20"/>
                <w:szCs w:val="20"/>
              </w:rPr>
              <w:t>Can get FTTP at an acceptable total cost.</w:t>
            </w:r>
          </w:p>
        </w:tc>
        <w:tc>
          <w:tcPr>
            <w:tcW w:type="dxa" w:w="7200"/>
            <w:tcBorders>
              <w:top w:val="single" w:color="C9D3CC" w:sz="4"/>
              <w:left w:val="single" w:color="C9D3CC" w:sz="4"/>
              <w:bottom w:val="single" w:color="C9D3CC" w:sz="4"/>
              <w:right w:val="single" w:color="C9D3CC" w:sz="4"/>
            </w:tcBorders>
            <w:tcMar>
              <w:top w:type="dxa" w:w="80"/>
              <w:left w:type="dxa" w:w="120"/>
              <w:bottom w:type="dxa" w:w="80"/>
              <w:right w:type="dxa" w:w="120"/>
            </w:tcMar>
            <w:vAlign w:val="top"/>
          </w:tcPr>
          <w:p>
            <w:pPr>
              <w:spacing w:after="40"/>
            </w:pPr>
            <w:r>
              <w:rPr>
                <w:rFonts w:ascii="Calibri" w:cs="Calibri" w:eastAsia="Calibri" w:hAnsi="Calibri"/>
                <w:color w:val="1F2A24"/>
                <w:sz w:val="20"/>
                <w:szCs w:val="20"/>
              </w:rPr>
              <w:t>Have a strong HFC service with suitable download and upload performance.</w:t>
            </w:r>
          </w:p>
          <w:p>
            <w:pPr>
              <w:spacing w:after="40"/>
            </w:pPr>
            <w:r>
              <w:rPr>
                <w:rFonts w:ascii="Calibri" w:cs="Calibri" w:eastAsia="Calibri" w:hAnsi="Calibri"/>
                <w:color w:val="1F2A24"/>
                <w:sz w:val="20"/>
                <w:szCs w:val="20"/>
              </w:rPr>
              <w:t>Primarily need high downstream capacity.</w:t>
            </w:r>
          </w:p>
          <w:p>
            <w:pPr>
              <w:spacing w:after="40"/>
            </w:pPr>
            <w:r>
              <w:rPr>
                <w:rFonts w:ascii="Calibri" w:cs="Calibri" w:eastAsia="Calibri" w:hAnsi="Calibri"/>
                <w:color w:val="1F2A24"/>
                <w:sz w:val="20"/>
                <w:szCs w:val="20"/>
              </w:rPr>
              <w:t>Value existing coax cabling or a potentially simpler installation.</w:t>
            </w:r>
          </w:p>
          <w:p>
            <w:pPr>
              <w:spacing w:after="40"/>
            </w:pPr>
            <w:r>
              <w:rPr>
                <w:rFonts w:ascii="Calibri" w:cs="Calibri" w:eastAsia="Calibri" w:hAnsi="Calibri"/>
                <w:color w:val="1F2A24"/>
                <w:sz w:val="20"/>
                <w:szCs w:val="20"/>
              </w:rPr>
              <w:t>Find cable offers better value, or FTTP is unavailable.</w:t>
            </w:r>
          </w:p>
        </w:tc>
      </w:tr>
    </w:tbl>
    <w:p>
      <w:pPr>
        <w:pStyle w:val="Heading1"/>
        <w:spacing w:after="100" w:before="240"/>
      </w:pPr>
      <w:r>
        <w:rPr>
          <w:rFonts w:ascii="Georgia" w:cs="Georgia" w:eastAsia="Georgia" w:hAnsi="Georgia"/>
          <w:b/>
          <w:bCs/>
          <w:color w:val="0B4A32"/>
          <w:sz w:val="30"/>
          <w:szCs w:val="30"/>
        </w:rPr>
        <w:t xml:space="preserve">Questions to ask before you sign</w:t>
      </w:r>
    </w:p>
    <w:p>
      <w:pPr>
        <w:pStyle w:val="ListParagraph"/>
        <w:numPr>
          <w:ilvl w:val="0"/>
          <w:numId w:val="2"/>
        </w:numPr>
        <w:spacing w:after="50"/>
      </w:pPr>
      <w:r>
        <w:rPr>
          <w:rFonts w:ascii="Calibri" w:cs="Calibri" w:eastAsia="Calibri" w:hAnsi="Calibri"/>
          <w:color w:val="1F2A24"/>
          <w:sz w:val="20"/>
          <w:szCs w:val="20"/>
        </w:rPr>
        <w:t>Is the connection full fibre / FTTP, or HFC with coaxial cable on the final access segment?</w:t>
      </w:r>
    </w:p>
    <w:p>
      <w:pPr>
        <w:pStyle w:val="ListParagraph"/>
        <w:numPr>
          <w:ilvl w:val="0"/>
          <w:numId w:val="2"/>
        </w:numPr>
        <w:spacing w:after="50"/>
      </w:pPr>
      <w:r>
        <w:rPr>
          <w:rFonts w:ascii="Calibri" w:cs="Calibri" w:eastAsia="Calibri" w:hAnsi="Calibri"/>
          <w:color w:val="1F2A24"/>
          <w:sz w:val="20"/>
          <w:szCs w:val="20"/>
        </w:rPr>
        <w:t>What are the download and upload speeds, and which figures are advertised, typical, minimum or guaranteed?</w:t>
      </w:r>
    </w:p>
    <w:p>
      <w:pPr>
        <w:pStyle w:val="ListParagraph"/>
        <w:numPr>
          <w:ilvl w:val="0"/>
          <w:numId w:val="2"/>
        </w:numPr>
        <w:spacing w:after="50"/>
      </w:pPr>
      <w:r>
        <w:rPr>
          <w:rFonts w:ascii="Calibri" w:cs="Calibri" w:eastAsia="Calibri" w:hAnsi="Calibri"/>
          <w:color w:val="1F2A24"/>
          <w:sz w:val="20"/>
          <w:szCs w:val="20"/>
        </w:rPr>
        <w:t xml:space="preserve">What is the price now, after the promotion, and after yearly rises?</w:t>
      </w:r>
    </w:p>
    <w:p>
      <w:pPr>
        <w:pStyle w:val="ListParagraph"/>
        <w:numPr>
          <w:ilvl w:val="0"/>
          <w:numId w:val="2"/>
        </w:numPr>
        <w:spacing w:after="50"/>
      </w:pPr>
      <w:r>
        <w:rPr>
          <w:rFonts w:ascii="Calibri" w:cs="Calibri" w:eastAsia="Calibri" w:hAnsi="Calibri"/>
          <w:color w:val="1F2A24"/>
          <w:sz w:val="20"/>
          <w:szCs w:val="20"/>
        </w:rPr>
        <w:t xml:space="preserve">What are the setup, equipment and exit fees?</w:t>
      </w:r>
    </w:p>
    <w:p>
      <w:pPr>
        <w:pStyle w:val="ListParagraph"/>
        <w:numPr>
          <w:ilvl w:val="0"/>
          <w:numId w:val="2"/>
        </w:numPr>
        <w:spacing w:after="50"/>
      </w:pPr>
      <w:r>
        <w:rPr>
          <w:rFonts w:ascii="Calibri" w:cs="Calibri" w:eastAsia="Calibri" w:hAnsi="Calibri"/>
          <w:color w:val="1F2A24"/>
          <w:sz w:val="20"/>
          <w:szCs w:val="20"/>
        </w:rPr>
        <w:t xml:space="preserve">Is there a data cap or fair-use policy?</w:t>
      </w:r>
    </w:p>
    <w:p>
      <w:pPr>
        <w:pStyle w:val="ListParagraph"/>
        <w:numPr>
          <w:ilvl w:val="0"/>
          <w:numId w:val="2"/>
        </w:numPr>
        <w:spacing w:after="50"/>
      </w:pPr>
      <w:r>
        <w:rPr>
          <w:rFonts w:ascii="Calibri" w:cs="Calibri" w:eastAsia="Calibri" w:hAnsi="Calibri"/>
          <w:color w:val="1F2A24"/>
          <w:sz w:val="20"/>
          <w:szCs w:val="20"/>
        </w:rPr>
        <w:t>Can I use my own router or modem, and are there compatibility requirements?</w:t>
      </w:r>
    </w:p>
    <w:p>
      <w:pPr>
        <w:pStyle w:val="ListParagraph"/>
        <w:numPr>
          <w:ilvl w:val="0"/>
          <w:numId w:val="2"/>
        </w:numPr>
        <w:spacing w:after="50"/>
      </w:pPr>
      <w:r>
        <w:rPr>
          <w:rFonts w:ascii="Calibri" w:cs="Calibri" w:eastAsia="Calibri" w:hAnsi="Calibri"/>
          <w:color w:val="1F2A24"/>
          <w:sz w:val="20"/>
          <w:szCs w:val="20"/>
        </w:rPr>
        <w:t xml:space="preserve">Is landlord or building permission needed, and how long will installation take?</w:t>
      </w:r>
    </w:p>
    <w:p>
      <w:pPr>
        <w:pStyle w:val="ListParagraph"/>
        <w:numPr>
          <w:ilvl w:val="0"/>
          <w:numId w:val="2"/>
        </w:numPr>
        <w:spacing w:after="50"/>
      </w:pPr>
      <w:r>
        <w:rPr>
          <w:rFonts w:ascii="Calibri" w:cs="Calibri" w:eastAsia="Calibri" w:hAnsi="Calibri"/>
          <w:color w:val="1F2A24"/>
          <w:sz w:val="20"/>
          <w:szCs w:val="20"/>
        </w:rPr>
        <w:t xml:space="preserve">What is the repair commitment if the line fails?</w:t>
      </w:r>
    </w:p>
    <w:p>
      <w:pPr>
        <w:pStyle w:val="Heading2"/>
        <w:spacing w:after="100" w:before="240"/>
      </w:pPr>
      <w:r>
        <w:rPr>
          <w:rFonts w:ascii="Georgia" w:cs="Georgia" w:eastAsia="Georgia" w:hAnsi="Georgia"/>
          <w:b/>
          <w:bCs/>
          <w:color w:val="0B4A32"/>
          <w:sz w:val="24"/>
          <w:szCs w:val="24"/>
        </w:rPr>
        <w:t xml:space="preserve">Short glossary</w:t>
      </w:r>
    </w:p>
    <w:p>
      <w:pPr>
        <w:pStyle w:val="ListParagraph"/>
        <w:numPr>
          <w:ilvl w:val="0"/>
          <w:numId w:val="3"/>
        </w:numPr>
        <w:spacing w:after="50"/>
      </w:pPr>
      <w:r>
        <w:rPr>
          <w:rFonts w:ascii="Calibri" w:cs="Calibri" w:eastAsia="Calibri" w:hAnsi="Calibri"/>
          <w:b/>
          <w:bCs/>
          <w:color w:val="1F2A24"/>
          <w:sz w:val="20"/>
          <w:szCs w:val="20"/>
        </w:rPr>
        <w:t xml:space="preserve">FTTP: </w:t>
      </w:r>
      <w:r>
        <w:rPr>
          <w:rFonts w:ascii="Calibri" w:cs="Calibri" w:eastAsia="Calibri" w:hAnsi="Calibri"/>
          <w:color w:val="1F2A24"/>
          <w:sz w:val="20"/>
          <w:szCs w:val="20"/>
        </w:rPr>
        <w:t xml:space="preserve">fibre to the premises. Fibre-optic cable reaches your home or building.</w:t>
      </w:r>
    </w:p>
    <w:p>
      <w:pPr>
        <w:pStyle w:val="ListParagraph"/>
        <w:numPr>
          <w:ilvl w:val="0"/>
          <w:numId w:val="3"/>
        </w:numPr>
        <w:spacing w:after="50"/>
      </w:pPr>
      <w:r>
        <w:rPr>
          <w:rFonts w:ascii="Calibri" w:cs="Calibri" w:eastAsia="Calibri" w:hAnsi="Calibri"/>
          <w:b/>
          <w:bCs/>
          <w:color w:val="1F2A24"/>
          <w:sz w:val="20"/>
          <w:szCs w:val="20"/>
        </w:rPr>
        <w:t>HFC: hybrid fibre-coax. Fibre reaches a local optical node; coaxial cable completes the access path to the premises.</w:t>
      </w:r>
      <w:r>
        <w:rPr>
          <w:rFonts w:ascii="Calibri" w:cs="Calibri" w:eastAsia="Calibri" w:hAnsi="Calibri"/>
          <w:color w:val="1F2A24"/>
          <w:sz w:val="20"/>
          <w:szCs w:val="20"/>
        </w:rPr>
      </w:r>
    </w:p>
    <w:p>
      <w:pPr>
        <w:pStyle w:val="ListParagraph"/>
        <w:numPr>
          <w:ilvl w:val="0"/>
          <w:numId w:val="3"/>
        </w:numPr>
        <w:spacing w:after="50"/>
      </w:pPr>
      <w:r>
        <w:rPr>
          <w:rFonts w:ascii="Calibri" w:cs="Calibri" w:eastAsia="Calibri" w:hAnsi="Calibri"/>
          <w:b/>
          <w:bCs/>
          <w:color w:val="1F2A24"/>
          <w:sz w:val="20"/>
          <w:szCs w:val="20"/>
        </w:rPr>
        <w:t xml:space="preserve">DOCSIS: </w:t>
      </w:r>
      <w:r>
        <w:rPr>
          <w:rFonts w:ascii="Calibri" w:cs="Calibri" w:eastAsia="Calibri" w:hAnsi="Calibri"/>
          <w:color w:val="1F2A24"/>
          <w:sz w:val="20"/>
          <w:szCs w:val="20"/>
        </w:rPr>
        <w:t xml:space="preserve">the standard family used by cable networks to carry broadband.</w:t>
      </w:r>
    </w:p>
    <w:p>
      <w:pPr>
        <w:pStyle w:val="ListParagraph"/>
        <w:numPr>
          <w:ilvl w:val="0"/>
          <w:numId w:val="3"/>
        </w:numPr>
        <w:spacing w:after="50"/>
      </w:pPr>
      <w:r>
        <w:rPr>
          <w:rFonts w:ascii="Calibri" w:cs="Calibri" w:eastAsia="Calibri" w:hAnsi="Calibri"/>
          <w:b/>
          <w:bCs/>
          <w:color w:val="1F2A24"/>
          <w:sz w:val="20"/>
          <w:szCs w:val="20"/>
        </w:rPr>
        <w:t xml:space="preserve">PON (GPON, XGS-PON): </w:t>
      </w:r>
      <w:r>
        <w:rPr>
          <w:rFonts w:ascii="Calibri" w:cs="Calibri" w:eastAsia="Calibri" w:hAnsi="Calibri"/>
          <w:color w:val="1F2A24"/>
          <w:sz w:val="20"/>
          <w:szCs w:val="20"/>
        </w:rPr>
        <w:t xml:space="preserve">passive optical network technologies used on many fibre networks.</w:t>
      </w:r>
    </w:p>
    <w:p>
      <w:pPr>
        <w:pStyle w:val="ListParagraph"/>
        <w:numPr>
          <w:ilvl w:val="0"/>
          <w:numId w:val="3"/>
        </w:numPr>
        <w:spacing w:after="50"/>
      </w:pPr>
      <w:r>
        <w:rPr>
          <w:rFonts w:ascii="Calibri" w:cs="Calibri" w:eastAsia="Calibri" w:hAnsi="Calibri"/>
          <w:b/>
          <w:bCs/>
          <w:color w:val="1F2A24"/>
          <w:sz w:val="20"/>
          <w:szCs w:val="20"/>
        </w:rPr>
        <w:t xml:space="preserve">ONT: </w:t>
      </w:r>
      <w:r>
        <w:rPr>
          <w:rFonts w:ascii="Calibri" w:cs="Calibri" w:eastAsia="Calibri" w:hAnsi="Calibri"/>
          <w:color w:val="1F2A24"/>
          <w:sz w:val="20"/>
          <w:szCs w:val="20"/>
        </w:rPr>
        <w:t xml:space="preserve">optical network terminal. The box in your home where fibre ends.</w:t>
      </w:r>
    </w:p>
    <w:p>
      <w:pPr>
        <w:pStyle w:val="ListParagraph"/>
        <w:numPr>
          <w:ilvl w:val="0"/>
          <w:numId w:val="3"/>
        </w:numPr>
        <w:spacing w:after="50"/>
      </w:pPr>
      <w:r>
        <w:rPr>
          <w:rFonts w:ascii="Calibri" w:cs="Calibri" w:eastAsia="Calibri" w:hAnsi="Calibri"/>
          <w:b/>
          <w:bCs/>
          <w:color w:val="1F2A24"/>
          <w:sz w:val="20"/>
          <w:szCs w:val="20"/>
        </w:rPr>
        <w:t xml:space="preserve">Symmetrical: </w:t>
      </w:r>
      <w:r>
        <w:rPr>
          <w:rFonts w:ascii="Calibri" w:cs="Calibri" w:eastAsia="Calibri" w:hAnsi="Calibri"/>
          <w:color w:val="1F2A24"/>
          <w:sz w:val="20"/>
          <w:szCs w:val="20"/>
        </w:rPr>
        <w:t xml:space="preserve">upload speed matches download speed.</w:t>
      </w:r>
    </w:p>
    <w:p>
      <w:pPr>
        <w:pStyle w:val="ListParagraph"/>
        <w:numPr>
          <w:ilvl w:val="0"/>
          <w:numId w:val="3"/>
        </w:numPr>
        <w:spacing w:after="50"/>
      </w:pPr>
      <w:r>
        <w:rPr>
          <w:rFonts w:ascii="Calibri" w:cs="Calibri" w:eastAsia="Calibri" w:hAnsi="Calibri"/>
          <w:b/>
          <w:bCs/>
          <w:color w:val="1F2A24"/>
          <w:sz w:val="20"/>
          <w:szCs w:val="20"/>
        </w:rPr>
        <w:t xml:space="preserve">Latency / jitter: </w:t>
      </w:r>
      <w:r>
        <w:rPr>
          <w:rFonts w:ascii="Calibri" w:cs="Calibri" w:eastAsia="Calibri" w:hAnsi="Calibri"/>
          <w:color w:val="1F2A24"/>
          <w:sz w:val="20"/>
          <w:szCs w:val="20"/>
        </w:rPr>
        <w:t xml:space="preserve">delay in the connection, and how much that delay varies.</w:t>
      </w:r>
    </w:p>
    <w:p>
      <w:pPr>
        <w:pBdr>
          <w:top w:val="single" w:color="B8860B" w:sz="6" w:space="6"/>
        </w:pBdr>
        <w:spacing w:before="200"/>
      </w:pPr>
      <w:r>
        <w:rPr>
          <w:rFonts w:ascii="Calibri" w:cs="Calibri" w:eastAsia="Calibri" w:hAnsi="Calibri"/>
          <w:i/>
          <w:iCs/>
          <w:color w:val="5B6660"/>
          <w:sz w:val="18"/>
          <w:szCs w:val="18"/>
        </w:rPr>
        <w:t xml:space="preserve">This document is general information, not a lab test or a provider recommendation. Verify speeds, prices, terms and availability with the provider for your address.</w:t>
      </w:r>
    </w:p>
    <w:sectPr>
      <w:headerReference w:type="default" r:id="rId7"/>
      <w:footerReference w:type="default" r:id="rId8"/>
      <w:pgSz w:w="15840" w:h="12240" w:orient="landscape"/>
      <w:pgMar w:top="10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00"/>
      </w:tabs>
    </w:pPr>
    <w:r>
      <w:rPr>
        <w:rFonts w:ascii="Calibri" w:cs="Calibri" w:eastAsia="Calibri" w:hAnsi="Calibri"/>
        <w:color w:val="5B6660"/>
        <w:sz w:val="16"/>
        <w:szCs w:val="16"/>
      </w:rPr>
      <w:t xml:space="preserve">ONOCRA · Independent, evidence-first technology guidance for households</w:t>
    </w:r>
    <w:r>
      <w:rPr>
        <w:rFonts w:ascii="Calibri" w:cs="Calibri" w:eastAsia="Calibri" w:hAnsi="Calibri"/>
        <w:color w:val="5B6660"/>
        <w:sz w:val="16"/>
        <w:szCs w:val="16"/>
      </w:rPr>
      <w:t xml:space="preserve">	Page </w:t>
    </w:r>
    <w:r>
      <w:rPr>
        <w:rFonts w:ascii="Calibri" w:cs="Calibri" w:eastAsia="Calibri" w:hAnsi="Calibri"/>
        <w:color w:val="5B66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8" w:space="4"/>
      </w:pBdr>
      <w:tabs>
        <w:tab w:val="right" w:pos="14400"/>
      </w:tabs>
    </w:pPr>
    <w:r>
      <w:t xml:space="preserve">  ONOCRA</w:t>
      <w:tab/>
      <w:t>Home Internet &amp; Wi-Fi · Broadband comparison</w:t>
    </w:r>
    <w:r>
      <w:rPr>
        <w:rFonts w:ascii="Georgia" w:cs="Georgia" w:eastAsia="Georgia" w:hAnsi="Georgia"/>
        <w:b/>
        <w:bCs/>
        <w:color w:val="0B4A32"/>
        <w:sz w:val="24"/>
        <w:szCs w:val="24"/>
      </w:rPr>
    </w:r>
    <w:r>
      <w:rPr>
        <w:rFonts w:ascii="Calibri" w:cs="Calibri" w:eastAsia="Calibri" w:hAnsi="Calibri"/>
        <w:color w:val="5B6660"/>
        <w:sz w:val="18"/>
        <w:szCs w:val="18"/>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color w:val="0B4A32"/>
      <w:sz w:val="30"/>
      <w:szCs w:val="30"/>
    </w:rPr>
  </w:style>
  <w:style w:type="paragraph" w:styleId="Heading2">
    <w:name w:val="Heading 2"/>
    <w:basedOn w:val="Normal"/>
    <w:next w:val="Normal"/>
    <w:qFormat/>
    <w:pPr>
      <w:outlineLvl w:val="1"/>
    </w:pPr>
    <w:rPr>
      <w:rFonts w:ascii="Georgia" w:cs="Georgia" w:eastAsia="Georgia" w:hAnsi="Georgia"/>
      <w:b/>
      <w:bCs/>
      <w:color w:val="0B4A32"/>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be15637335247804c27bdd64134cf0620f0f74b.png"/><Relationship Id="rId10" Type="http://schemas.openxmlformats.org/officeDocument/2006/relationships/fontTable" Target="fontTable.xml"/></Relationships>
</file>

<file path=word/_rels/header1.xml.rels><?xml version='1.0' encoding='UTF-8' standalone='yes'?>
<Relationships xmlns="http://schemas.openxmlformats.org/package/2006/relationships"><Relationship Id="rId0" Type="http://schemas.openxmlformats.org/officeDocument/2006/relationships/image" Target="media/7be15637335247804c27bdd64134cf0620f0f74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2026-10-19T16:08:43.229Z</dcterms:created>
  <dcterms:modified xsi:type="dcterms:W3CDTF">2026-10-19T16:08:43.235Z</dcterms:modified>
  <dc:title>ONOCRA Guide — Full Fibre (FTTP) vs. Cable Broadband / Coax (HFC)</dc:title>
  <dc:subject>Home Internet &amp; Wi-Fi broadband comparison guide</dc:subject>
  <cp:keywords>ONOCRA, FTTP, full fibre, cable broadband, coax, HFC, DOCSIS, home internet, comparison</cp:keywords>
</cp:coreProperties>
</file>

<file path=docProps/custom.xml><?xml version="1.0" encoding="utf-8"?>
<Properties xmlns="http://schemas.openxmlformats.org/officeDocument/2006/custom-properties" xmlns:vt="http://schemas.openxmlformats.org/officeDocument/2006/docPropsVTypes"/>
</file>